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2AC05" w14:textId="3A8FC9BD" w:rsidR="00321A19" w:rsidRDefault="00321A19" w:rsidP="00321A19">
      <w:pPr>
        <w:pStyle w:val="OMBInfo"/>
      </w:pPr>
      <w:r>
        <w:t>OMB No. 0925-0001</w:t>
      </w:r>
      <w:r w:rsidR="00FC5F9E">
        <w:t xml:space="preserve"> and 0925-</w:t>
      </w:r>
      <w:r>
        <w:t xml:space="preserve">0002 (Rev. </w:t>
      </w:r>
      <w:r w:rsidR="00F94A2B">
        <w:t>10</w:t>
      </w:r>
      <w:r w:rsidR="00FC5F9E">
        <w:t>/15</w:t>
      </w:r>
      <w:r>
        <w:t xml:space="preserve"> Approved Through </w:t>
      </w:r>
      <w:r w:rsidR="00FC5F9E">
        <w:t>10</w:t>
      </w:r>
      <w:r>
        <w:t>/31/</w:t>
      </w:r>
      <w:r w:rsidR="00FC5F9E">
        <w:t>2018</w:t>
      </w:r>
      <w:r>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500CC778" w:rsidR="002B7443" w:rsidRPr="00D3779E" w:rsidRDefault="002B7443" w:rsidP="002B7443">
      <w:pPr>
        <w:pStyle w:val="FormFieldCaption1"/>
        <w:pBdr>
          <w:between w:val="single" w:sz="4" w:space="1" w:color="auto"/>
        </w:pBdr>
        <w:rPr>
          <w:sz w:val="32"/>
        </w:rPr>
      </w:pPr>
      <w:r w:rsidRPr="00D3779E">
        <w:rPr>
          <w:sz w:val="22"/>
        </w:rPr>
        <w:t>NAME:</w:t>
      </w:r>
      <w:r w:rsidR="008A724C" w:rsidRPr="008A724C">
        <w:rPr>
          <w:sz w:val="22"/>
        </w:rPr>
        <w:t xml:space="preserve"> </w:t>
      </w:r>
      <w:r w:rsidR="008A724C">
        <w:rPr>
          <w:sz w:val="22"/>
        </w:rPr>
        <w:t>Maehigashi, Tatsuya</w:t>
      </w:r>
    </w:p>
    <w:p w14:paraId="7FFF41C1" w14:textId="43005025"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sidR="002B7443" w:rsidRPr="00D3779E">
        <w:rPr>
          <w:sz w:val="22"/>
        </w:rPr>
        <w:t>:</w:t>
      </w:r>
      <w:r w:rsidR="00635E40">
        <w:rPr>
          <w:sz w:val="22"/>
        </w:rPr>
        <w:t xml:space="preserve"> TMAEHI</w:t>
      </w:r>
    </w:p>
    <w:p w14:paraId="74873D9A" w14:textId="3A80DD3D"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8A724C" w:rsidRPr="008A724C">
        <w:rPr>
          <w:sz w:val="22"/>
        </w:rPr>
        <w:t xml:space="preserve"> </w:t>
      </w:r>
      <w:r w:rsidR="008A724C">
        <w:rPr>
          <w:sz w:val="22"/>
        </w:rPr>
        <w:t>Research Associate</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33173" w:rsidRPr="00D3779E" w14:paraId="21BBC1F3" w14:textId="77777777" w:rsidTr="008A724C">
        <w:trPr>
          <w:cantSplit/>
          <w:tblHeader/>
        </w:trPr>
        <w:tc>
          <w:tcPr>
            <w:tcW w:w="5364"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44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8A724C" w:rsidRPr="00D3779E" w14:paraId="5CD50646" w14:textId="77777777" w:rsidTr="008A724C">
        <w:trPr>
          <w:cantSplit/>
          <w:trHeight w:val="395"/>
        </w:trPr>
        <w:tc>
          <w:tcPr>
            <w:tcW w:w="5364" w:type="dxa"/>
            <w:tcBorders>
              <w:top w:val="single" w:sz="4" w:space="0" w:color="auto"/>
            </w:tcBorders>
          </w:tcPr>
          <w:p w14:paraId="3B0C531B" w14:textId="2BFA9254" w:rsidR="008A724C" w:rsidRPr="00977FA5" w:rsidRDefault="008A724C" w:rsidP="008A724C">
            <w:pPr>
              <w:pStyle w:val="FormFieldCaption"/>
              <w:spacing w:before="20" w:after="20"/>
              <w:rPr>
                <w:sz w:val="22"/>
                <w:szCs w:val="22"/>
              </w:rPr>
            </w:pPr>
            <w:r>
              <w:rPr>
                <w:sz w:val="22"/>
                <w:szCs w:val="22"/>
              </w:rPr>
              <w:t>Utah State University, Logan, UT</w:t>
            </w:r>
          </w:p>
        </w:tc>
        <w:tc>
          <w:tcPr>
            <w:tcW w:w="1440" w:type="dxa"/>
            <w:tcBorders>
              <w:top w:val="single" w:sz="4" w:space="0" w:color="auto"/>
            </w:tcBorders>
          </w:tcPr>
          <w:p w14:paraId="62DD05C1" w14:textId="3ABF05ED" w:rsidR="008A724C" w:rsidRPr="00977FA5" w:rsidRDefault="008A724C" w:rsidP="008A724C">
            <w:pPr>
              <w:pStyle w:val="FormFieldCaption"/>
              <w:spacing w:before="20" w:after="20"/>
              <w:jc w:val="center"/>
              <w:rPr>
                <w:sz w:val="22"/>
                <w:szCs w:val="22"/>
              </w:rPr>
            </w:pPr>
            <w:proofErr w:type="gramStart"/>
            <w:r>
              <w:rPr>
                <w:sz w:val="22"/>
                <w:szCs w:val="22"/>
              </w:rPr>
              <w:t>B.S</w:t>
            </w:r>
            <w:proofErr w:type="gramEnd"/>
          </w:p>
        </w:tc>
        <w:tc>
          <w:tcPr>
            <w:tcW w:w="1440" w:type="dxa"/>
            <w:tcBorders>
              <w:top w:val="single" w:sz="4" w:space="0" w:color="auto"/>
            </w:tcBorders>
          </w:tcPr>
          <w:p w14:paraId="543299E0" w14:textId="0C9C4CB7" w:rsidR="008A724C" w:rsidRPr="00977FA5" w:rsidRDefault="008A724C" w:rsidP="008A724C">
            <w:pPr>
              <w:pStyle w:val="FormFieldCaption"/>
              <w:spacing w:before="20" w:after="20"/>
              <w:jc w:val="center"/>
              <w:rPr>
                <w:sz w:val="22"/>
                <w:szCs w:val="22"/>
              </w:rPr>
            </w:pPr>
            <w:r>
              <w:rPr>
                <w:sz w:val="22"/>
                <w:szCs w:val="22"/>
              </w:rPr>
              <w:t>5/2002</w:t>
            </w:r>
          </w:p>
        </w:tc>
        <w:tc>
          <w:tcPr>
            <w:tcW w:w="2592" w:type="dxa"/>
            <w:tcBorders>
              <w:top w:val="single" w:sz="4" w:space="0" w:color="auto"/>
            </w:tcBorders>
          </w:tcPr>
          <w:p w14:paraId="7BC5582F" w14:textId="6F2C3567" w:rsidR="008A724C" w:rsidRPr="00977FA5" w:rsidRDefault="008A724C" w:rsidP="008A724C">
            <w:pPr>
              <w:pStyle w:val="FormFieldCaption"/>
              <w:spacing w:before="20" w:after="20"/>
              <w:rPr>
                <w:sz w:val="22"/>
                <w:szCs w:val="22"/>
              </w:rPr>
            </w:pPr>
            <w:r>
              <w:rPr>
                <w:sz w:val="22"/>
                <w:szCs w:val="22"/>
              </w:rPr>
              <w:t>Biochemistry</w:t>
            </w:r>
          </w:p>
        </w:tc>
      </w:tr>
      <w:tr w:rsidR="00E724A6" w:rsidRPr="00D3779E" w14:paraId="1515F345" w14:textId="77777777" w:rsidTr="008A724C">
        <w:trPr>
          <w:cantSplit/>
          <w:trHeight w:val="395"/>
        </w:trPr>
        <w:tc>
          <w:tcPr>
            <w:tcW w:w="5364" w:type="dxa"/>
          </w:tcPr>
          <w:p w14:paraId="7DED23E7" w14:textId="4AEDD7B0" w:rsidR="00E724A6" w:rsidRPr="00977FA5" w:rsidRDefault="00E724A6" w:rsidP="00E724A6">
            <w:pPr>
              <w:pStyle w:val="FormFieldCaption"/>
              <w:spacing w:before="20" w:after="20"/>
              <w:rPr>
                <w:sz w:val="22"/>
                <w:szCs w:val="22"/>
              </w:rPr>
            </w:pPr>
            <w:r>
              <w:rPr>
                <w:sz w:val="22"/>
                <w:szCs w:val="22"/>
              </w:rPr>
              <w:t>Georgia Institute of Technology, Atlanta, GA</w:t>
            </w:r>
          </w:p>
        </w:tc>
        <w:tc>
          <w:tcPr>
            <w:tcW w:w="1440" w:type="dxa"/>
          </w:tcPr>
          <w:p w14:paraId="0D874BFC" w14:textId="34B082DD" w:rsidR="00E724A6" w:rsidRPr="00977FA5" w:rsidRDefault="00E724A6" w:rsidP="00E724A6">
            <w:pPr>
              <w:pStyle w:val="FormFieldCaption"/>
              <w:spacing w:before="20" w:after="20"/>
              <w:jc w:val="center"/>
              <w:rPr>
                <w:sz w:val="22"/>
                <w:szCs w:val="22"/>
              </w:rPr>
            </w:pPr>
            <w:r>
              <w:rPr>
                <w:sz w:val="22"/>
                <w:szCs w:val="22"/>
              </w:rPr>
              <w:t>Ph.D.</w:t>
            </w:r>
          </w:p>
        </w:tc>
        <w:tc>
          <w:tcPr>
            <w:tcW w:w="1440" w:type="dxa"/>
          </w:tcPr>
          <w:p w14:paraId="1A7AA7CA" w14:textId="6C2BD355" w:rsidR="00E724A6" w:rsidRPr="00977FA5" w:rsidRDefault="00E724A6" w:rsidP="00E724A6">
            <w:pPr>
              <w:pStyle w:val="FormFieldCaption"/>
              <w:spacing w:before="20" w:after="20"/>
              <w:jc w:val="center"/>
              <w:rPr>
                <w:sz w:val="22"/>
                <w:szCs w:val="22"/>
              </w:rPr>
            </w:pPr>
            <w:r>
              <w:rPr>
                <w:sz w:val="22"/>
                <w:szCs w:val="22"/>
              </w:rPr>
              <w:t>5/2009</w:t>
            </w:r>
          </w:p>
        </w:tc>
        <w:tc>
          <w:tcPr>
            <w:tcW w:w="2592" w:type="dxa"/>
          </w:tcPr>
          <w:p w14:paraId="4CC74E5C" w14:textId="611D9F1A" w:rsidR="00E724A6" w:rsidRPr="00977FA5" w:rsidRDefault="00E724A6" w:rsidP="00E724A6">
            <w:pPr>
              <w:pStyle w:val="FormFieldCaption"/>
              <w:spacing w:before="20" w:after="20"/>
              <w:rPr>
                <w:sz w:val="22"/>
                <w:szCs w:val="22"/>
              </w:rPr>
            </w:pPr>
            <w:r>
              <w:rPr>
                <w:sz w:val="22"/>
                <w:szCs w:val="22"/>
              </w:rPr>
              <w:t>Structural Biology</w:t>
            </w:r>
          </w:p>
        </w:tc>
      </w:tr>
      <w:tr w:rsidR="00E724A6" w:rsidRPr="00D3779E" w14:paraId="51E27C1C" w14:textId="77777777" w:rsidTr="008A724C">
        <w:trPr>
          <w:cantSplit/>
          <w:trHeight w:val="395"/>
        </w:trPr>
        <w:tc>
          <w:tcPr>
            <w:tcW w:w="5364" w:type="dxa"/>
          </w:tcPr>
          <w:p w14:paraId="66BC8FF0" w14:textId="111AD62F" w:rsidR="00E724A6" w:rsidRPr="00977FA5" w:rsidRDefault="00E724A6" w:rsidP="00E724A6">
            <w:pPr>
              <w:pStyle w:val="FormFieldCaption"/>
              <w:spacing w:before="20" w:after="20"/>
              <w:rPr>
                <w:sz w:val="22"/>
                <w:szCs w:val="22"/>
              </w:rPr>
            </w:pPr>
            <w:r>
              <w:rPr>
                <w:sz w:val="22"/>
                <w:szCs w:val="22"/>
              </w:rPr>
              <w:t>Emory University, Atlanta, GA</w:t>
            </w:r>
          </w:p>
        </w:tc>
        <w:tc>
          <w:tcPr>
            <w:tcW w:w="1440" w:type="dxa"/>
          </w:tcPr>
          <w:p w14:paraId="6AEADABA" w14:textId="57B803B7" w:rsidR="00E724A6" w:rsidRPr="00977FA5" w:rsidRDefault="00E724A6" w:rsidP="00E724A6">
            <w:pPr>
              <w:pStyle w:val="FormFieldCaption"/>
              <w:spacing w:before="20" w:after="20"/>
              <w:jc w:val="center"/>
              <w:rPr>
                <w:sz w:val="22"/>
                <w:szCs w:val="22"/>
              </w:rPr>
            </w:pPr>
            <w:r>
              <w:rPr>
                <w:sz w:val="22"/>
                <w:szCs w:val="22"/>
              </w:rPr>
              <w:t>Postdoctoral</w:t>
            </w:r>
          </w:p>
        </w:tc>
        <w:tc>
          <w:tcPr>
            <w:tcW w:w="1440" w:type="dxa"/>
          </w:tcPr>
          <w:p w14:paraId="4ED60B07" w14:textId="3C1E30B5" w:rsidR="00E724A6" w:rsidRPr="00977FA5" w:rsidRDefault="00E724A6" w:rsidP="00E724A6">
            <w:pPr>
              <w:pStyle w:val="FormFieldCaption"/>
              <w:spacing w:before="20" w:after="20"/>
              <w:jc w:val="center"/>
              <w:rPr>
                <w:sz w:val="22"/>
                <w:szCs w:val="22"/>
              </w:rPr>
            </w:pPr>
            <w:r>
              <w:rPr>
                <w:sz w:val="22"/>
                <w:szCs w:val="22"/>
              </w:rPr>
              <w:t>2/2015</w:t>
            </w:r>
          </w:p>
        </w:tc>
        <w:tc>
          <w:tcPr>
            <w:tcW w:w="2592" w:type="dxa"/>
          </w:tcPr>
          <w:p w14:paraId="2303550C" w14:textId="30A9CC5E" w:rsidR="00E724A6" w:rsidRPr="00977FA5" w:rsidRDefault="00E724A6" w:rsidP="00E724A6">
            <w:pPr>
              <w:pStyle w:val="FormFieldCaption"/>
              <w:spacing w:before="20" w:after="20"/>
              <w:rPr>
                <w:sz w:val="22"/>
                <w:szCs w:val="22"/>
              </w:rPr>
            </w:pPr>
            <w:r>
              <w:rPr>
                <w:sz w:val="22"/>
                <w:szCs w:val="22"/>
              </w:rPr>
              <w:t>Structural Biology</w:t>
            </w:r>
          </w:p>
        </w:tc>
      </w:tr>
      <w:tr w:rsidR="00E724A6" w:rsidRPr="00D3779E" w14:paraId="09D52645" w14:textId="77777777" w:rsidTr="008A724C">
        <w:trPr>
          <w:cantSplit/>
          <w:trHeight w:val="395"/>
        </w:trPr>
        <w:tc>
          <w:tcPr>
            <w:tcW w:w="5364" w:type="dxa"/>
          </w:tcPr>
          <w:p w14:paraId="76A4F390" w14:textId="77777777" w:rsidR="00E724A6" w:rsidRPr="00977FA5" w:rsidRDefault="00E724A6" w:rsidP="00E724A6">
            <w:pPr>
              <w:pStyle w:val="FormFieldCaption"/>
              <w:spacing w:before="20" w:after="20"/>
              <w:rPr>
                <w:sz w:val="22"/>
                <w:szCs w:val="22"/>
              </w:rPr>
            </w:pPr>
          </w:p>
        </w:tc>
        <w:tc>
          <w:tcPr>
            <w:tcW w:w="1440" w:type="dxa"/>
          </w:tcPr>
          <w:p w14:paraId="3120D72C" w14:textId="77777777" w:rsidR="00E724A6" w:rsidRPr="00977FA5" w:rsidRDefault="00E724A6" w:rsidP="00E724A6">
            <w:pPr>
              <w:pStyle w:val="FormFieldCaption"/>
              <w:spacing w:before="20" w:after="20"/>
              <w:jc w:val="center"/>
              <w:rPr>
                <w:sz w:val="22"/>
                <w:szCs w:val="22"/>
              </w:rPr>
            </w:pPr>
          </w:p>
        </w:tc>
        <w:tc>
          <w:tcPr>
            <w:tcW w:w="1440" w:type="dxa"/>
          </w:tcPr>
          <w:p w14:paraId="53EB7033" w14:textId="77777777" w:rsidR="00E724A6" w:rsidRPr="00977FA5" w:rsidRDefault="00E724A6" w:rsidP="00E724A6">
            <w:pPr>
              <w:pStyle w:val="FormFieldCaption"/>
              <w:spacing w:before="20" w:after="20"/>
              <w:jc w:val="center"/>
              <w:rPr>
                <w:sz w:val="22"/>
                <w:szCs w:val="22"/>
              </w:rPr>
            </w:pPr>
          </w:p>
        </w:tc>
        <w:tc>
          <w:tcPr>
            <w:tcW w:w="2592" w:type="dxa"/>
          </w:tcPr>
          <w:p w14:paraId="4418E34F" w14:textId="77777777" w:rsidR="00E724A6" w:rsidRPr="00977FA5" w:rsidRDefault="00E724A6" w:rsidP="00E724A6">
            <w:pPr>
              <w:pStyle w:val="FormFieldCaption"/>
              <w:spacing w:before="20" w:after="20"/>
              <w:rPr>
                <w:sz w:val="22"/>
                <w:szCs w:val="22"/>
              </w:rPr>
            </w:pPr>
          </w:p>
        </w:tc>
      </w:tr>
      <w:tr w:rsidR="00E724A6" w:rsidRPr="00D3779E" w14:paraId="767906B9" w14:textId="77777777" w:rsidTr="008A724C">
        <w:trPr>
          <w:cantSplit/>
          <w:trHeight w:val="395"/>
        </w:trPr>
        <w:tc>
          <w:tcPr>
            <w:tcW w:w="5364" w:type="dxa"/>
          </w:tcPr>
          <w:p w14:paraId="4D43CFA6" w14:textId="2FFF44CD" w:rsidR="00E724A6" w:rsidRPr="00977FA5" w:rsidRDefault="00E724A6" w:rsidP="00E724A6">
            <w:pPr>
              <w:pStyle w:val="FormFieldCaption"/>
              <w:spacing w:before="20" w:after="20"/>
              <w:rPr>
                <w:sz w:val="22"/>
                <w:szCs w:val="22"/>
              </w:rPr>
            </w:pPr>
          </w:p>
        </w:tc>
        <w:tc>
          <w:tcPr>
            <w:tcW w:w="1440" w:type="dxa"/>
          </w:tcPr>
          <w:p w14:paraId="3D81FEFA" w14:textId="77777777" w:rsidR="00E724A6" w:rsidRPr="00977FA5" w:rsidRDefault="00E724A6" w:rsidP="00E724A6">
            <w:pPr>
              <w:pStyle w:val="FormFieldCaption"/>
              <w:spacing w:before="20" w:after="20"/>
              <w:jc w:val="center"/>
              <w:rPr>
                <w:sz w:val="22"/>
                <w:szCs w:val="22"/>
              </w:rPr>
            </w:pPr>
          </w:p>
        </w:tc>
        <w:tc>
          <w:tcPr>
            <w:tcW w:w="1440" w:type="dxa"/>
          </w:tcPr>
          <w:p w14:paraId="3F1F9756" w14:textId="77777777" w:rsidR="00E724A6" w:rsidRPr="00977FA5" w:rsidRDefault="00E724A6" w:rsidP="00E724A6">
            <w:pPr>
              <w:pStyle w:val="FormFieldCaption"/>
              <w:spacing w:before="20" w:after="20"/>
              <w:jc w:val="center"/>
              <w:rPr>
                <w:sz w:val="22"/>
                <w:szCs w:val="22"/>
              </w:rPr>
            </w:pPr>
          </w:p>
        </w:tc>
        <w:tc>
          <w:tcPr>
            <w:tcW w:w="2592" w:type="dxa"/>
          </w:tcPr>
          <w:p w14:paraId="4D6D5595" w14:textId="685C1785" w:rsidR="00E724A6" w:rsidRPr="00977FA5" w:rsidRDefault="00E724A6" w:rsidP="00E724A6">
            <w:pPr>
              <w:pStyle w:val="FormFieldCaption"/>
              <w:spacing w:before="20" w:after="20"/>
              <w:rPr>
                <w:sz w:val="22"/>
                <w:szCs w:val="22"/>
              </w:rPr>
            </w:pPr>
          </w:p>
        </w:tc>
      </w:tr>
    </w:tbl>
    <w:p w14:paraId="6FC868BE" w14:textId="735E875D" w:rsidR="009E52CA" w:rsidRDefault="009E52CA">
      <w:pPr>
        <w:pStyle w:val="DataField11pt-Single"/>
      </w:pPr>
    </w:p>
    <w:p w14:paraId="1F70D2E0" w14:textId="77777777" w:rsidR="00A93370" w:rsidRDefault="00A93370" w:rsidP="00A93370">
      <w:pPr>
        <w:pStyle w:val="DataField11pt-Single"/>
        <w:rPr>
          <w:rStyle w:val="Strong"/>
        </w:rPr>
      </w:pPr>
      <w:r>
        <w:rPr>
          <w:rStyle w:val="Strong"/>
        </w:rPr>
        <w:t>A. Personal Statement</w:t>
      </w:r>
    </w:p>
    <w:p w14:paraId="465690F3" w14:textId="42DE31CC" w:rsidR="00A93370" w:rsidRDefault="00A93370" w:rsidP="00A93370">
      <w:pPr>
        <w:pStyle w:val="DataField11pt-Single"/>
        <w:spacing w:before="240"/>
        <w:jc w:val="both"/>
        <w:rPr>
          <w:szCs w:val="22"/>
        </w:rPr>
      </w:pPr>
      <w:bookmarkStart w:id="0" w:name="_GoBack"/>
      <w:bookmarkEnd w:id="0"/>
      <w:r>
        <w:rPr>
          <w:szCs w:val="22"/>
        </w:rPr>
        <w:t xml:space="preserve">I have the expertise in macromolecule preparations, including challenging protein purifications, large complexes (bacterial ribosomes), as well as </w:t>
      </w:r>
      <w:r w:rsidRPr="00526B1F">
        <w:rPr>
          <w:i/>
          <w:szCs w:val="22"/>
        </w:rPr>
        <w:t>in vitro</w:t>
      </w:r>
      <w:r>
        <w:rPr>
          <w:szCs w:val="22"/>
        </w:rPr>
        <w:t xml:space="preserve"> transcribed RNA and structured RNAs (tRNAs). My training as an X-ray crystallographer began during my Ph.D. studies with Dr. Loren D. Williams at Georgia Tech, where I worked on DNA and DNA-drug complexes at ultra-high resolution. I started my postdoctoral training with Dr. Christine Dunham at Emory in 2009, and I have since then completed variety of crystallographic challenges including toxin-antitoxin protein-protein complexes and several 70S ribosome complexes. Through my postdoctoral training, I also had the opportunities to collaborate with researchers from other groups, and produced several peer-reviewed publications. These projects involve careful and often difficult biomolecule preparations, as well as complex instrumentations and data analyses. This expertise will help in determining the structure of the </w:t>
      </w:r>
      <w:r w:rsidR="007D4125">
        <w:rPr>
          <w:szCs w:val="22"/>
        </w:rPr>
        <w:t>HIV-1 RT bound to mismatch primer</w:t>
      </w:r>
      <w:r>
        <w:rPr>
          <w:szCs w:val="22"/>
        </w:rPr>
        <w:t xml:space="preserve"> </w:t>
      </w:r>
      <w:r w:rsidR="00435AF7">
        <w:rPr>
          <w:szCs w:val="22"/>
        </w:rPr>
        <w:t xml:space="preserve">(Aim 2) </w:t>
      </w:r>
      <w:r>
        <w:rPr>
          <w:szCs w:val="22"/>
        </w:rPr>
        <w:t xml:space="preserve">to contribute to the mechanistic understanding of </w:t>
      </w:r>
      <w:r w:rsidR="00577B5D">
        <w:rPr>
          <w:szCs w:val="22"/>
        </w:rPr>
        <w:t>its uniquely efficient mismatch extension capability</w:t>
      </w:r>
      <w:r>
        <w:rPr>
          <w:szCs w:val="22"/>
        </w:rPr>
        <w:t>.</w:t>
      </w:r>
    </w:p>
    <w:p w14:paraId="02038F40" w14:textId="77777777" w:rsidR="00A93370" w:rsidRDefault="00A93370" w:rsidP="00A93370">
      <w:pPr>
        <w:pStyle w:val="DataField11pt-Single"/>
        <w:jc w:val="both"/>
        <w:rPr>
          <w:szCs w:val="22"/>
        </w:rPr>
      </w:pPr>
    </w:p>
    <w:p w14:paraId="5D9B3CFA" w14:textId="77777777" w:rsidR="00A93370" w:rsidRDefault="00A93370" w:rsidP="00A93370">
      <w:pPr>
        <w:pStyle w:val="DataField11pt-Single"/>
        <w:spacing w:before="240"/>
        <w:rPr>
          <w:rStyle w:val="Strong"/>
        </w:rPr>
      </w:pPr>
      <w:r>
        <w:rPr>
          <w:rStyle w:val="Strong"/>
        </w:rPr>
        <w:t>B. Positions and Honors</w:t>
      </w:r>
    </w:p>
    <w:p w14:paraId="277F1B8A" w14:textId="77777777" w:rsidR="00A93370" w:rsidRPr="006F6455" w:rsidRDefault="00A93370" w:rsidP="00A93370">
      <w:pPr>
        <w:pStyle w:val="DataField11pt-Single"/>
        <w:spacing w:before="240"/>
        <w:rPr>
          <w:rStyle w:val="Strong"/>
          <w:u w:val="single"/>
        </w:rPr>
      </w:pPr>
      <w:r w:rsidRPr="006F6455">
        <w:rPr>
          <w:rStyle w:val="Strong"/>
          <w:u w:val="single"/>
        </w:rPr>
        <w:t>Positions and Employment</w:t>
      </w:r>
    </w:p>
    <w:p w14:paraId="52504A02" w14:textId="77777777" w:rsidR="00A93370" w:rsidRDefault="00A93370" w:rsidP="00A93370">
      <w:pPr>
        <w:pStyle w:val="DataField11pt-Single"/>
        <w:spacing w:before="240"/>
        <w:rPr>
          <w:rStyle w:val="Strong"/>
          <w:b w:val="0"/>
        </w:rPr>
      </w:pPr>
      <w:r>
        <w:rPr>
          <w:rStyle w:val="Strong"/>
          <w:b w:val="0"/>
        </w:rPr>
        <w:t>2014-2015</w:t>
      </w:r>
      <w:r>
        <w:rPr>
          <w:rStyle w:val="Strong"/>
          <w:b w:val="0"/>
        </w:rPr>
        <w:tab/>
      </w:r>
      <w:r>
        <w:rPr>
          <w:rStyle w:val="Strong"/>
          <w:b w:val="0"/>
        </w:rPr>
        <w:tab/>
        <w:t>Research Associate, Department of Biochemistry, Emory University, Atlanta, GA</w:t>
      </w:r>
    </w:p>
    <w:p w14:paraId="6D341680" w14:textId="77777777" w:rsidR="00A93370" w:rsidRPr="00E2414F" w:rsidRDefault="00A93370" w:rsidP="00A93370">
      <w:pPr>
        <w:pStyle w:val="DataField11pt-Single"/>
        <w:spacing w:before="240"/>
        <w:rPr>
          <w:rStyle w:val="Strong"/>
          <w:b w:val="0"/>
        </w:rPr>
      </w:pPr>
      <w:r>
        <w:rPr>
          <w:rStyle w:val="Strong"/>
          <w:b w:val="0"/>
        </w:rPr>
        <w:t>2015-</w:t>
      </w:r>
      <w:r>
        <w:rPr>
          <w:rStyle w:val="Strong"/>
          <w:b w:val="0"/>
        </w:rPr>
        <w:tab/>
      </w:r>
      <w:r>
        <w:rPr>
          <w:rStyle w:val="Strong"/>
          <w:b w:val="0"/>
        </w:rPr>
        <w:tab/>
      </w:r>
      <w:r>
        <w:rPr>
          <w:rStyle w:val="Strong"/>
          <w:b w:val="0"/>
        </w:rPr>
        <w:tab/>
        <w:t>Research Associate, Department of Pediatrics, Emory University, Atlanta, GA</w:t>
      </w:r>
    </w:p>
    <w:p w14:paraId="02501C4C" w14:textId="77777777" w:rsidR="00A93370" w:rsidRPr="006F6455" w:rsidRDefault="00A93370" w:rsidP="00A93370">
      <w:pPr>
        <w:pStyle w:val="DataField11pt-Single"/>
        <w:spacing w:before="240"/>
        <w:rPr>
          <w:rStyle w:val="Strong"/>
          <w:u w:val="single"/>
        </w:rPr>
      </w:pPr>
      <w:r w:rsidRPr="006F6455">
        <w:rPr>
          <w:rStyle w:val="Strong"/>
          <w:u w:val="single"/>
        </w:rPr>
        <w:t>Other Experience and Professional memberships</w:t>
      </w:r>
    </w:p>
    <w:p w14:paraId="565A4362" w14:textId="77777777" w:rsidR="00A93370" w:rsidRDefault="00A93370" w:rsidP="00A93370">
      <w:pPr>
        <w:pStyle w:val="DataField11pt-Single"/>
        <w:spacing w:before="240"/>
        <w:rPr>
          <w:rStyle w:val="Strong"/>
          <w:b w:val="0"/>
        </w:rPr>
      </w:pPr>
      <w:r w:rsidRPr="00BD03A7">
        <w:rPr>
          <w:rStyle w:val="Strong"/>
          <w:b w:val="0"/>
        </w:rPr>
        <w:t>2014-</w:t>
      </w:r>
      <w:r w:rsidRPr="00BD03A7">
        <w:rPr>
          <w:rStyle w:val="Strong"/>
          <w:b w:val="0"/>
        </w:rPr>
        <w:tab/>
      </w:r>
      <w:r w:rsidRPr="00BD03A7">
        <w:rPr>
          <w:rStyle w:val="Strong"/>
          <w:b w:val="0"/>
        </w:rPr>
        <w:tab/>
      </w:r>
      <w:r w:rsidRPr="00BD03A7">
        <w:rPr>
          <w:rStyle w:val="Strong"/>
          <w:b w:val="0"/>
        </w:rPr>
        <w:tab/>
      </w:r>
      <w:r>
        <w:rPr>
          <w:rStyle w:val="Strong"/>
          <w:b w:val="0"/>
        </w:rPr>
        <w:t>Member, RNA Society</w:t>
      </w:r>
    </w:p>
    <w:p w14:paraId="5FD7F426" w14:textId="77777777" w:rsidR="00A93370" w:rsidRPr="00BD03A7" w:rsidRDefault="00A93370" w:rsidP="00A93370">
      <w:pPr>
        <w:pStyle w:val="DataField11pt-Single"/>
        <w:spacing w:before="240"/>
        <w:rPr>
          <w:rStyle w:val="Strong"/>
          <w:b w:val="0"/>
        </w:rPr>
      </w:pPr>
      <w:r>
        <w:rPr>
          <w:rStyle w:val="Strong"/>
          <w:b w:val="0"/>
        </w:rPr>
        <w:t>2007</w:t>
      </w:r>
      <w:r>
        <w:rPr>
          <w:rStyle w:val="Strong"/>
          <w:b w:val="0"/>
        </w:rPr>
        <w:tab/>
      </w:r>
      <w:r>
        <w:rPr>
          <w:rStyle w:val="Strong"/>
          <w:b w:val="0"/>
        </w:rPr>
        <w:tab/>
      </w:r>
      <w:r>
        <w:rPr>
          <w:rStyle w:val="Strong"/>
          <w:b w:val="0"/>
        </w:rPr>
        <w:tab/>
        <w:t>“</w:t>
      </w:r>
      <w:proofErr w:type="spellStart"/>
      <w:r>
        <w:rPr>
          <w:rStyle w:val="Strong"/>
          <w:b w:val="0"/>
        </w:rPr>
        <w:t>Chem</w:t>
      </w:r>
      <w:proofErr w:type="spellEnd"/>
      <w:r>
        <w:rPr>
          <w:rStyle w:val="Strong"/>
          <w:b w:val="0"/>
        </w:rPr>
        <w:t xml:space="preserve"> 1310 2007-2008 Laboratory Manual” (Author), Houghton Mifflin.</w:t>
      </w:r>
    </w:p>
    <w:p w14:paraId="7ABE35B6" w14:textId="77777777" w:rsidR="00A93370" w:rsidRPr="006F6455" w:rsidRDefault="00A93370" w:rsidP="00A93370">
      <w:pPr>
        <w:pStyle w:val="DataField11pt-Single"/>
        <w:spacing w:before="240"/>
        <w:rPr>
          <w:rStyle w:val="Strong"/>
          <w:u w:val="single"/>
        </w:rPr>
      </w:pPr>
      <w:r w:rsidRPr="006F6455">
        <w:rPr>
          <w:rStyle w:val="Strong"/>
          <w:u w:val="single"/>
        </w:rPr>
        <w:t>Honors</w:t>
      </w:r>
    </w:p>
    <w:p w14:paraId="6E1F7423" w14:textId="77777777" w:rsidR="00A93370" w:rsidRDefault="00A93370" w:rsidP="00A93370">
      <w:pPr>
        <w:pStyle w:val="DataField11pt-Single"/>
        <w:spacing w:before="240"/>
        <w:rPr>
          <w:rStyle w:val="Strong"/>
          <w:b w:val="0"/>
        </w:rPr>
      </w:pPr>
      <w:r>
        <w:rPr>
          <w:rStyle w:val="Strong"/>
          <w:b w:val="0"/>
        </w:rPr>
        <w:lastRenderedPageBreak/>
        <w:t>2003</w:t>
      </w:r>
      <w:r>
        <w:rPr>
          <w:rStyle w:val="Strong"/>
          <w:b w:val="0"/>
        </w:rPr>
        <w:tab/>
      </w:r>
      <w:r>
        <w:rPr>
          <w:rStyle w:val="Strong"/>
          <w:b w:val="0"/>
        </w:rPr>
        <w:tab/>
      </w:r>
      <w:r>
        <w:rPr>
          <w:rStyle w:val="Strong"/>
          <w:b w:val="0"/>
        </w:rPr>
        <w:tab/>
        <w:t>Graduate Teaching Assistant Award, Department of Chemistry and Biochemistry, Georgia Institute of Technology, Atlanta, GA</w:t>
      </w:r>
    </w:p>
    <w:p w14:paraId="47B747A5" w14:textId="77777777" w:rsidR="00A93370" w:rsidRDefault="00A93370" w:rsidP="00A93370">
      <w:pPr>
        <w:pStyle w:val="DataField11pt-Single"/>
        <w:spacing w:before="240"/>
        <w:rPr>
          <w:rStyle w:val="Strong"/>
          <w:b w:val="0"/>
        </w:rPr>
      </w:pPr>
      <w:r>
        <w:rPr>
          <w:rStyle w:val="Strong"/>
          <w:b w:val="0"/>
        </w:rPr>
        <w:t>2004</w:t>
      </w:r>
      <w:r>
        <w:rPr>
          <w:rStyle w:val="Strong"/>
          <w:b w:val="0"/>
        </w:rPr>
        <w:tab/>
      </w:r>
      <w:r>
        <w:rPr>
          <w:rStyle w:val="Strong"/>
          <w:b w:val="0"/>
        </w:rPr>
        <w:tab/>
      </w:r>
      <w:r>
        <w:rPr>
          <w:rStyle w:val="Strong"/>
          <w:b w:val="0"/>
        </w:rPr>
        <w:tab/>
        <w:t>CETL/BP Outstanding Teaching Assistant Award, Center for Enhancement of Teaching and Learning, Georgia Institute of Technology, Atlanta, GA</w:t>
      </w:r>
    </w:p>
    <w:p w14:paraId="5D445231" w14:textId="77777777" w:rsidR="00A93370" w:rsidRPr="00BD03A7" w:rsidRDefault="00A93370" w:rsidP="00A93370">
      <w:pPr>
        <w:pStyle w:val="DataField11pt-Single"/>
        <w:spacing w:before="240"/>
        <w:rPr>
          <w:rStyle w:val="Strong"/>
          <w:b w:val="0"/>
        </w:rPr>
      </w:pPr>
      <w:r>
        <w:rPr>
          <w:rStyle w:val="Strong"/>
          <w:b w:val="0"/>
        </w:rPr>
        <w:t>2005</w:t>
      </w:r>
      <w:r>
        <w:rPr>
          <w:rStyle w:val="Strong"/>
          <w:b w:val="0"/>
        </w:rPr>
        <w:tab/>
      </w:r>
      <w:r>
        <w:rPr>
          <w:rStyle w:val="Strong"/>
          <w:b w:val="0"/>
        </w:rPr>
        <w:tab/>
      </w:r>
      <w:r>
        <w:rPr>
          <w:rStyle w:val="Strong"/>
          <w:b w:val="0"/>
        </w:rPr>
        <w:tab/>
        <w:t xml:space="preserve">Graduate Honoree, </w:t>
      </w:r>
      <w:proofErr w:type="spellStart"/>
      <w:r>
        <w:rPr>
          <w:rStyle w:val="Strong"/>
          <w:b w:val="0"/>
        </w:rPr>
        <w:t>Colloege</w:t>
      </w:r>
      <w:proofErr w:type="spellEnd"/>
      <w:r>
        <w:rPr>
          <w:rStyle w:val="Strong"/>
          <w:b w:val="0"/>
        </w:rPr>
        <w:t xml:space="preserve"> of Sciences, Georgia Institute of Technology, Atlanta, GA</w:t>
      </w:r>
    </w:p>
    <w:p w14:paraId="2112060F" w14:textId="77777777" w:rsidR="00A93370" w:rsidRDefault="00A93370" w:rsidP="00A93370">
      <w:pPr>
        <w:pStyle w:val="DataField11pt-Single"/>
        <w:spacing w:before="240"/>
        <w:rPr>
          <w:rStyle w:val="Strong"/>
        </w:rPr>
      </w:pPr>
      <w:r>
        <w:rPr>
          <w:rStyle w:val="Strong"/>
        </w:rPr>
        <w:t>C. Contribution to Science</w:t>
      </w:r>
    </w:p>
    <w:p w14:paraId="4B7F2246" w14:textId="77777777" w:rsidR="00A93370" w:rsidRPr="00702EF6" w:rsidRDefault="00A93370" w:rsidP="00A93370">
      <w:pPr>
        <w:pStyle w:val="DataField11pt-Single"/>
        <w:spacing w:before="240"/>
        <w:rPr>
          <w:rStyle w:val="Strong"/>
          <w:u w:val="single"/>
        </w:rPr>
      </w:pPr>
      <w:r w:rsidRPr="00702EF6">
        <w:rPr>
          <w:rStyle w:val="Strong"/>
          <w:u w:val="single"/>
        </w:rPr>
        <w:t xml:space="preserve">Complete List of Published Work in </w:t>
      </w:r>
      <w:proofErr w:type="spellStart"/>
      <w:r w:rsidRPr="00702EF6">
        <w:rPr>
          <w:rStyle w:val="Strong"/>
          <w:u w:val="single"/>
        </w:rPr>
        <w:t>MyBibliography</w:t>
      </w:r>
      <w:proofErr w:type="spellEnd"/>
    </w:p>
    <w:p w14:paraId="6752B371" w14:textId="77777777" w:rsidR="00A93370" w:rsidRPr="006F6455" w:rsidRDefault="00A93370" w:rsidP="00A93370">
      <w:pPr>
        <w:pStyle w:val="DataField11pt-Single"/>
        <w:spacing w:before="240"/>
        <w:rPr>
          <w:b/>
          <w:szCs w:val="22"/>
          <w:lang w:val="en"/>
        </w:rPr>
      </w:pPr>
      <w:hyperlink r:id="rId10" w:history="1">
        <w:r w:rsidRPr="006F6455">
          <w:rPr>
            <w:rStyle w:val="Hyperlink"/>
            <w:b/>
            <w:szCs w:val="22"/>
            <w:lang w:val="en"/>
          </w:rPr>
          <w:t>http://www.ncbi.nlm.nih.gov/sites/myncbi/10SlcYpeBay54/bibliography/47860155/public/?sort=date&amp;direction=ascending</w:t>
        </w:r>
      </w:hyperlink>
      <w:r w:rsidRPr="006F6455">
        <w:rPr>
          <w:b/>
          <w:szCs w:val="22"/>
          <w:lang w:val="en"/>
        </w:rPr>
        <w:t>.</w:t>
      </w:r>
    </w:p>
    <w:p w14:paraId="6ABAD1FC" w14:textId="77777777" w:rsidR="00A93370" w:rsidRDefault="00A93370" w:rsidP="00A93370">
      <w:pPr>
        <w:pStyle w:val="DataField11pt-Single"/>
        <w:spacing w:before="240" w:after="240"/>
        <w:jc w:val="both"/>
        <w:rPr>
          <w:szCs w:val="22"/>
        </w:rPr>
      </w:pPr>
      <w:r>
        <w:rPr>
          <w:rStyle w:val="Strong"/>
        </w:rPr>
        <w:t xml:space="preserve">1. </w:t>
      </w:r>
      <w:r>
        <w:rPr>
          <w:szCs w:val="22"/>
        </w:rPr>
        <w:t xml:space="preserve">During my Ph.D. studies, I have </w:t>
      </w:r>
      <w:r w:rsidRPr="00E91042">
        <w:rPr>
          <w:szCs w:val="22"/>
        </w:rPr>
        <w:t>determined</w:t>
      </w:r>
      <w:r>
        <w:rPr>
          <w:szCs w:val="22"/>
        </w:rPr>
        <w:t xml:space="preserve"> several high resolution structures of DNA in the presence of biologically relevant counter-ion. While the basic structure of DNA itself in general has been known for over the decays, increasingly accurate X-ray structures offer highly detailed characterization of conformation, hydration and counter-ion interactions. These work revealed that the new high-resolution structure of DNA with extended A-tracts differs significantly from a previous structure in both conformation and hydration (</w:t>
      </w:r>
      <w:r w:rsidRPr="008530C6">
        <w:rPr>
          <w:b/>
          <w:szCs w:val="22"/>
        </w:rPr>
        <w:t>ref. a</w:t>
      </w:r>
      <w:r>
        <w:rPr>
          <w:szCs w:val="22"/>
        </w:rPr>
        <w:t>), and DNA with uniquely tethered cation in the major groove influences DNA deformation and the distribution of the counter-ion (</w:t>
      </w:r>
      <w:r w:rsidRPr="008530C6">
        <w:rPr>
          <w:b/>
          <w:szCs w:val="22"/>
        </w:rPr>
        <w:t>ref. b</w:t>
      </w:r>
      <w:r>
        <w:rPr>
          <w:szCs w:val="22"/>
        </w:rPr>
        <w:t>). The high-resolution sub-atomic data obtained by improved methods allowed more accurate modeling of the DNA, revealing polymorphism of the DNA atomic positions, conformation and hydration, and is the first observation of full base pair positional heterogeneity observed by X-ray diffraction of DNA (</w:t>
      </w:r>
      <w:r w:rsidRPr="00B717A2">
        <w:rPr>
          <w:b/>
          <w:szCs w:val="22"/>
        </w:rPr>
        <w:t>ref. c</w:t>
      </w:r>
      <w:r>
        <w:rPr>
          <w:szCs w:val="22"/>
        </w:rPr>
        <w:t xml:space="preserve">). </w:t>
      </w:r>
    </w:p>
    <w:p w14:paraId="1C16ABE2" w14:textId="77777777" w:rsidR="00A93370" w:rsidRPr="002907DF" w:rsidRDefault="00A93370" w:rsidP="00A93370">
      <w:pPr>
        <w:pStyle w:val="ListParagraph"/>
        <w:numPr>
          <w:ilvl w:val="1"/>
          <w:numId w:val="19"/>
        </w:numPr>
        <w:ind w:left="540"/>
        <w:rPr>
          <w:rFonts w:cs="Arial"/>
          <w:szCs w:val="22"/>
        </w:rPr>
      </w:pPr>
      <w:hyperlink r:id="rId11" w:tgtFrame="_blank" w:history="1">
        <w:r w:rsidRPr="002907DF">
          <w:rPr>
            <w:rStyle w:val="Hyperlink"/>
            <w:rFonts w:cs="Arial"/>
            <w:color w:val="000000"/>
            <w:szCs w:val="22"/>
          </w:rPr>
          <w:t xml:space="preserve">Woods, K.K., </w:t>
        </w:r>
        <w:r w:rsidRPr="002907DF">
          <w:rPr>
            <w:rStyle w:val="Hyperlink"/>
            <w:rFonts w:cs="Arial"/>
            <w:b/>
            <w:color w:val="000000"/>
            <w:szCs w:val="22"/>
          </w:rPr>
          <w:t>Maehigashi, T.</w:t>
        </w:r>
        <w:r w:rsidRPr="002907DF">
          <w:rPr>
            <w:rStyle w:val="Hyperlink"/>
            <w:rFonts w:cs="Arial"/>
            <w:color w:val="000000"/>
            <w:szCs w:val="22"/>
          </w:rPr>
          <w:t xml:space="preserve">, </w:t>
        </w:r>
        <w:proofErr w:type="spellStart"/>
        <w:r w:rsidRPr="002907DF">
          <w:rPr>
            <w:rStyle w:val="Hyperlink"/>
            <w:rFonts w:cs="Arial"/>
            <w:color w:val="000000"/>
            <w:szCs w:val="22"/>
          </w:rPr>
          <w:t>Howerton</w:t>
        </w:r>
        <w:proofErr w:type="spellEnd"/>
        <w:r w:rsidRPr="002907DF">
          <w:rPr>
            <w:rStyle w:val="Hyperlink"/>
            <w:rFonts w:cs="Arial"/>
            <w:color w:val="000000"/>
            <w:szCs w:val="22"/>
          </w:rPr>
          <w:t>, S.B., Sines, C.C., Tannenbaum, S., Williams, L.D.</w:t>
        </w:r>
      </w:hyperlink>
      <w:r w:rsidRPr="002907DF">
        <w:rPr>
          <w:rFonts w:cs="Arial"/>
          <w:color w:val="000000"/>
          <w:szCs w:val="22"/>
        </w:rPr>
        <w:t>, “</w:t>
      </w:r>
      <w:r w:rsidRPr="002907DF">
        <w:rPr>
          <w:rFonts w:cs="Arial"/>
          <w:szCs w:val="22"/>
        </w:rPr>
        <w:t>High-resolution structure of an extended A-tract: [d(CGCAAATTTGCG)]2</w:t>
      </w:r>
      <w:proofErr w:type="gramStart"/>
      <w:r w:rsidRPr="002907DF">
        <w:rPr>
          <w:rFonts w:cs="Arial"/>
          <w:szCs w:val="22"/>
        </w:rPr>
        <w:t>”.</w:t>
      </w:r>
      <w:r w:rsidRPr="002907DF">
        <w:rPr>
          <w:rFonts w:cs="Arial"/>
          <w:i/>
          <w:iCs/>
          <w:szCs w:val="22"/>
        </w:rPr>
        <w:t>J.Am.Chem.Soc.</w:t>
      </w:r>
      <w:proofErr w:type="gramEnd"/>
      <w:r w:rsidRPr="002907DF">
        <w:rPr>
          <w:rFonts w:cs="Arial"/>
          <w:szCs w:val="22"/>
        </w:rPr>
        <w:t xml:space="preserve"> , </w:t>
      </w:r>
      <w:r w:rsidRPr="002907DF">
        <w:rPr>
          <w:rFonts w:cs="Arial"/>
          <w:b/>
          <w:bCs/>
          <w:szCs w:val="22"/>
        </w:rPr>
        <w:t>126</w:t>
      </w:r>
      <w:r w:rsidRPr="002907DF">
        <w:rPr>
          <w:rFonts w:cs="Arial"/>
          <w:szCs w:val="22"/>
        </w:rPr>
        <w:t>, pp. 15330 - 15331, 2004. PMID: 15563130.</w:t>
      </w:r>
    </w:p>
    <w:p w14:paraId="2CCCAFD4" w14:textId="77777777" w:rsidR="00A93370" w:rsidRPr="002B6931" w:rsidRDefault="00A93370" w:rsidP="00A93370">
      <w:pPr>
        <w:ind w:left="540"/>
        <w:rPr>
          <w:rFonts w:cs="Arial"/>
          <w:b/>
          <w:szCs w:val="22"/>
        </w:rPr>
      </w:pPr>
    </w:p>
    <w:p w14:paraId="438230BB" w14:textId="77777777" w:rsidR="00A93370" w:rsidRPr="002907DF" w:rsidRDefault="00A93370" w:rsidP="00A93370">
      <w:pPr>
        <w:pStyle w:val="ListParagraph"/>
        <w:numPr>
          <w:ilvl w:val="1"/>
          <w:numId w:val="19"/>
        </w:numPr>
        <w:ind w:left="540"/>
        <w:rPr>
          <w:rFonts w:cs="Arial"/>
          <w:szCs w:val="22"/>
        </w:rPr>
      </w:pPr>
      <w:proofErr w:type="spellStart"/>
      <w:r w:rsidRPr="002907DF">
        <w:rPr>
          <w:rFonts w:cs="Arial"/>
          <w:szCs w:val="22"/>
        </w:rPr>
        <w:t>Moulaei</w:t>
      </w:r>
      <w:proofErr w:type="spellEnd"/>
      <w:r w:rsidRPr="002907DF">
        <w:rPr>
          <w:rFonts w:cs="Arial"/>
          <w:szCs w:val="22"/>
        </w:rPr>
        <w:t xml:space="preserve">, T., </w:t>
      </w:r>
      <w:r w:rsidRPr="002907DF">
        <w:rPr>
          <w:rFonts w:cs="Arial"/>
          <w:b/>
          <w:szCs w:val="22"/>
        </w:rPr>
        <w:t>Maehigashi, T.</w:t>
      </w:r>
      <w:r w:rsidRPr="002907DF">
        <w:rPr>
          <w:rFonts w:cs="Arial"/>
          <w:szCs w:val="22"/>
        </w:rPr>
        <w:t xml:space="preserve">, </w:t>
      </w:r>
      <w:proofErr w:type="spellStart"/>
      <w:r w:rsidRPr="002907DF">
        <w:rPr>
          <w:rFonts w:cs="Arial"/>
          <w:szCs w:val="22"/>
        </w:rPr>
        <w:t>Lountos</w:t>
      </w:r>
      <w:proofErr w:type="spellEnd"/>
      <w:r w:rsidRPr="002907DF">
        <w:rPr>
          <w:rFonts w:cs="Arial"/>
          <w:szCs w:val="22"/>
        </w:rPr>
        <w:t xml:space="preserve">, G., </w:t>
      </w:r>
      <w:proofErr w:type="spellStart"/>
      <w:r w:rsidRPr="002907DF">
        <w:rPr>
          <w:rFonts w:cs="Arial"/>
          <w:szCs w:val="22"/>
        </w:rPr>
        <w:t>Komeda</w:t>
      </w:r>
      <w:proofErr w:type="spellEnd"/>
      <w:r w:rsidRPr="002907DF">
        <w:rPr>
          <w:rFonts w:cs="Arial"/>
          <w:szCs w:val="22"/>
        </w:rPr>
        <w:t xml:space="preserve">, S., Watkins, D., Stone, M., Marky, L., Li, J., Gold, B., Williams, L.D., “Structure of B-DNA with Cations Tethered in the Major Groove”, </w:t>
      </w:r>
      <w:r w:rsidRPr="002907DF">
        <w:rPr>
          <w:rFonts w:cs="Arial"/>
          <w:i/>
          <w:iCs/>
          <w:szCs w:val="22"/>
        </w:rPr>
        <w:t>Biochemistry</w:t>
      </w:r>
      <w:r w:rsidRPr="002907DF">
        <w:rPr>
          <w:rFonts w:cs="Arial"/>
          <w:szCs w:val="22"/>
        </w:rPr>
        <w:t xml:space="preserve">, </w:t>
      </w:r>
      <w:r w:rsidRPr="002907DF">
        <w:rPr>
          <w:rFonts w:cs="Arial"/>
          <w:b/>
          <w:bCs/>
          <w:szCs w:val="22"/>
        </w:rPr>
        <w:t>44</w:t>
      </w:r>
      <w:r w:rsidRPr="002907DF">
        <w:rPr>
          <w:rFonts w:cs="Arial"/>
          <w:szCs w:val="22"/>
        </w:rPr>
        <w:t>, pp. 7458 - 7468, 2005. PMID:15895989</w:t>
      </w:r>
    </w:p>
    <w:p w14:paraId="7494522B" w14:textId="77777777" w:rsidR="00A93370" w:rsidRPr="002B6931" w:rsidRDefault="00A93370" w:rsidP="00A93370">
      <w:pPr>
        <w:ind w:left="540"/>
        <w:rPr>
          <w:rFonts w:cs="Arial"/>
          <w:color w:val="000000"/>
          <w:szCs w:val="22"/>
        </w:rPr>
      </w:pPr>
    </w:p>
    <w:p w14:paraId="79212C76" w14:textId="77777777" w:rsidR="00A93370" w:rsidRPr="002907DF" w:rsidRDefault="00A93370" w:rsidP="00A93370">
      <w:pPr>
        <w:pStyle w:val="ListParagraph"/>
        <w:numPr>
          <w:ilvl w:val="1"/>
          <w:numId w:val="19"/>
        </w:numPr>
        <w:spacing w:after="240"/>
        <w:ind w:left="540"/>
        <w:rPr>
          <w:rFonts w:cs="Arial"/>
          <w:szCs w:val="22"/>
        </w:rPr>
      </w:pPr>
      <w:r w:rsidRPr="002907DF">
        <w:rPr>
          <w:rFonts w:cs="Arial"/>
          <w:b/>
          <w:color w:val="000000"/>
          <w:szCs w:val="22"/>
        </w:rPr>
        <w:t>Maehigashi, T.</w:t>
      </w:r>
      <w:r w:rsidRPr="002907DF">
        <w:rPr>
          <w:rFonts w:cs="Arial"/>
          <w:color w:val="000000"/>
          <w:szCs w:val="22"/>
        </w:rPr>
        <w:t xml:space="preserve">, Hsiao, C., Woods, K. K., </w:t>
      </w:r>
      <w:proofErr w:type="spellStart"/>
      <w:r w:rsidRPr="002907DF">
        <w:rPr>
          <w:rFonts w:cs="Arial"/>
          <w:color w:val="000000"/>
          <w:szCs w:val="22"/>
        </w:rPr>
        <w:t>Moulaei</w:t>
      </w:r>
      <w:proofErr w:type="spellEnd"/>
      <w:r w:rsidRPr="002907DF">
        <w:rPr>
          <w:rFonts w:cs="Arial"/>
          <w:color w:val="000000"/>
          <w:szCs w:val="22"/>
        </w:rPr>
        <w:t xml:space="preserve">, T., </w:t>
      </w:r>
      <w:proofErr w:type="spellStart"/>
      <w:r w:rsidRPr="002907DF">
        <w:rPr>
          <w:rFonts w:cs="Arial"/>
          <w:color w:val="000000"/>
          <w:szCs w:val="22"/>
        </w:rPr>
        <w:t>Hud</w:t>
      </w:r>
      <w:proofErr w:type="spellEnd"/>
      <w:r w:rsidRPr="002907DF">
        <w:rPr>
          <w:rFonts w:cs="Arial"/>
          <w:color w:val="000000"/>
          <w:szCs w:val="22"/>
        </w:rPr>
        <w:t xml:space="preserve">, N. V. and Williams, L. D., “B-DNA structure is intrinsically polymorphic: even at the level of base pair positions”, </w:t>
      </w:r>
      <w:r w:rsidRPr="002907DF">
        <w:rPr>
          <w:rFonts w:cs="Arial"/>
          <w:i/>
          <w:color w:val="000000"/>
          <w:szCs w:val="22"/>
        </w:rPr>
        <w:t>Nucleic Acids Res.</w:t>
      </w:r>
      <w:r w:rsidRPr="002907DF">
        <w:rPr>
          <w:rFonts w:cs="Arial"/>
          <w:color w:val="000000"/>
          <w:szCs w:val="22"/>
        </w:rPr>
        <w:t xml:space="preserve">, </w:t>
      </w:r>
      <w:r w:rsidRPr="002907DF">
        <w:rPr>
          <w:rFonts w:cs="Arial"/>
          <w:b/>
          <w:color w:val="000000"/>
          <w:szCs w:val="22"/>
        </w:rPr>
        <w:t>40</w:t>
      </w:r>
      <w:r w:rsidRPr="002907DF">
        <w:rPr>
          <w:rFonts w:cs="Arial"/>
          <w:color w:val="000000"/>
          <w:szCs w:val="22"/>
        </w:rPr>
        <w:t xml:space="preserve">, pp. 3714-3722, 2012. </w:t>
      </w:r>
      <w:r w:rsidRPr="002907DF">
        <w:rPr>
          <w:rFonts w:cs="Arial"/>
          <w:szCs w:val="22"/>
        </w:rPr>
        <w:t>PMID: 22180536.</w:t>
      </w:r>
    </w:p>
    <w:p w14:paraId="08B399FD" w14:textId="71005875" w:rsidR="00A93370" w:rsidRDefault="00A93370" w:rsidP="00A93370">
      <w:pPr>
        <w:pStyle w:val="DataField11pt-Single"/>
        <w:spacing w:before="240"/>
        <w:jc w:val="both"/>
        <w:rPr>
          <w:szCs w:val="22"/>
        </w:rPr>
      </w:pPr>
      <w:r>
        <w:rPr>
          <w:szCs w:val="22"/>
        </w:rPr>
        <w:t>2. During my postdoctoral training, my primary research goals were directed toward mechanistic understanding of translational controls in bacteria through ribosome crystallography. During this time, my projects involved elucidating the mechanism of long known phenomena of how ribosomal ambiguity mutations (ram) promotes miscoding event (</w:t>
      </w:r>
      <w:r w:rsidRPr="00763CE5">
        <w:rPr>
          <w:b/>
          <w:szCs w:val="22"/>
        </w:rPr>
        <w:t>ref. a</w:t>
      </w:r>
      <w:r>
        <w:rPr>
          <w:szCs w:val="22"/>
        </w:rPr>
        <w:t>) and structural insights into how suppressor tRNA induce +1 frameshifting to understand the role played by the ribosome in maintaining the correct translational reading frame (</w:t>
      </w:r>
      <w:r w:rsidRPr="0067364C">
        <w:rPr>
          <w:b/>
          <w:szCs w:val="22"/>
        </w:rPr>
        <w:t>ref. b and c</w:t>
      </w:r>
      <w:r>
        <w:rPr>
          <w:szCs w:val="22"/>
        </w:rPr>
        <w:t>).</w:t>
      </w:r>
    </w:p>
    <w:p w14:paraId="6D2740C5" w14:textId="77777777" w:rsidR="00A93370" w:rsidRPr="002907DF" w:rsidRDefault="00A93370" w:rsidP="00A93370">
      <w:pPr>
        <w:pStyle w:val="ListParagraph"/>
        <w:numPr>
          <w:ilvl w:val="0"/>
          <w:numId w:val="20"/>
        </w:numPr>
        <w:spacing w:before="240"/>
        <w:ind w:left="540"/>
        <w:rPr>
          <w:rFonts w:cs="Arial"/>
          <w:szCs w:val="22"/>
        </w:rPr>
      </w:pPr>
      <w:r w:rsidRPr="002907DF">
        <w:rPr>
          <w:rFonts w:cs="Arial"/>
          <w:color w:val="000000"/>
          <w:szCs w:val="22"/>
        </w:rPr>
        <w:t xml:space="preserve">Fagan, C. E., Dunkle, J. A., </w:t>
      </w:r>
      <w:r w:rsidRPr="002907DF">
        <w:rPr>
          <w:rFonts w:cs="Arial"/>
          <w:b/>
          <w:color w:val="000000"/>
          <w:szCs w:val="22"/>
        </w:rPr>
        <w:t>Maehigashi, T.</w:t>
      </w:r>
      <w:r w:rsidRPr="002907DF">
        <w:rPr>
          <w:rFonts w:cs="Arial"/>
          <w:color w:val="000000"/>
          <w:szCs w:val="22"/>
        </w:rPr>
        <w:t xml:space="preserve">, Dang, M. N., Miles, S. J., Qin, D., Fredrick, K. and Dunham, C. M., “Reorganization of an </w:t>
      </w:r>
      <w:proofErr w:type="spellStart"/>
      <w:r w:rsidRPr="002907DF">
        <w:rPr>
          <w:rFonts w:cs="Arial"/>
          <w:color w:val="000000"/>
          <w:szCs w:val="22"/>
        </w:rPr>
        <w:t>intersubunit</w:t>
      </w:r>
      <w:proofErr w:type="spellEnd"/>
      <w:r w:rsidRPr="002907DF">
        <w:rPr>
          <w:rFonts w:cs="Arial"/>
          <w:color w:val="000000"/>
          <w:szCs w:val="22"/>
        </w:rPr>
        <w:t xml:space="preserve"> bridge induced by disparate 16S ribosomal ambiguity mutations mimics an EF-Tu- bound state”. </w:t>
      </w:r>
      <w:r w:rsidRPr="002907DF">
        <w:rPr>
          <w:rFonts w:cs="Arial"/>
          <w:i/>
          <w:color w:val="000000"/>
          <w:szCs w:val="22"/>
        </w:rPr>
        <w:t>Proc. Natl. Acad. Sci. U S A.</w:t>
      </w:r>
      <w:r w:rsidRPr="002907DF">
        <w:rPr>
          <w:rFonts w:cs="Arial"/>
          <w:color w:val="000000"/>
          <w:szCs w:val="22"/>
        </w:rPr>
        <w:t xml:space="preserve">, </w:t>
      </w:r>
      <w:r w:rsidRPr="002907DF">
        <w:rPr>
          <w:rFonts w:cs="Arial"/>
          <w:b/>
          <w:color w:val="000000"/>
          <w:szCs w:val="22"/>
        </w:rPr>
        <w:t xml:space="preserve">110(24), </w:t>
      </w:r>
      <w:r w:rsidRPr="002907DF">
        <w:rPr>
          <w:rFonts w:cs="Arial"/>
          <w:color w:val="000000"/>
          <w:szCs w:val="22"/>
        </w:rPr>
        <w:t xml:space="preserve">pp. 9716-9721, 2013. </w:t>
      </w:r>
      <w:r w:rsidRPr="002907DF">
        <w:rPr>
          <w:rFonts w:cs="Arial"/>
          <w:szCs w:val="22"/>
        </w:rPr>
        <w:t>PMID: 23630274.</w:t>
      </w:r>
    </w:p>
    <w:p w14:paraId="15ECB8CF" w14:textId="77777777" w:rsidR="00A93370" w:rsidRDefault="00A93370" w:rsidP="00A93370">
      <w:pPr>
        <w:ind w:left="540"/>
        <w:rPr>
          <w:rFonts w:cs="Arial"/>
          <w:szCs w:val="22"/>
        </w:rPr>
      </w:pPr>
    </w:p>
    <w:p w14:paraId="357A9EC3" w14:textId="77777777" w:rsidR="00A93370" w:rsidRPr="002907DF" w:rsidRDefault="00A93370" w:rsidP="00A93370">
      <w:pPr>
        <w:pStyle w:val="ListParagraph"/>
        <w:numPr>
          <w:ilvl w:val="0"/>
          <w:numId w:val="20"/>
        </w:numPr>
        <w:ind w:left="540"/>
        <w:rPr>
          <w:rFonts w:cs="Arial"/>
          <w:color w:val="000000"/>
          <w:szCs w:val="22"/>
        </w:rPr>
      </w:pPr>
      <w:r w:rsidRPr="002907DF">
        <w:rPr>
          <w:rFonts w:cs="Arial"/>
          <w:b/>
          <w:color w:val="000000"/>
          <w:szCs w:val="22"/>
        </w:rPr>
        <w:t>Maehigashi</w:t>
      </w:r>
      <w:r>
        <w:rPr>
          <w:rFonts w:cs="Arial"/>
          <w:b/>
          <w:color w:val="000000"/>
          <w:szCs w:val="22"/>
        </w:rPr>
        <w:t>*</w:t>
      </w:r>
      <w:r w:rsidRPr="002907DF">
        <w:rPr>
          <w:rFonts w:cs="Arial"/>
          <w:b/>
          <w:color w:val="000000"/>
          <w:szCs w:val="22"/>
        </w:rPr>
        <w:t>, T.</w:t>
      </w:r>
      <w:r w:rsidRPr="002907DF">
        <w:rPr>
          <w:rFonts w:cs="Arial"/>
          <w:color w:val="000000"/>
          <w:szCs w:val="22"/>
        </w:rPr>
        <w:t>, Dunkle</w:t>
      </w:r>
      <w:r>
        <w:rPr>
          <w:rFonts w:cs="Arial"/>
          <w:color w:val="000000"/>
          <w:szCs w:val="22"/>
        </w:rPr>
        <w:t>*</w:t>
      </w:r>
      <w:r w:rsidRPr="002907DF">
        <w:rPr>
          <w:rFonts w:cs="Arial"/>
          <w:color w:val="000000"/>
          <w:szCs w:val="22"/>
        </w:rPr>
        <w:t xml:space="preserve">, J. A., Miles, S. J. and Dunham, C. M., “Structural insights into +1 frameshifting promoted by expanded or modification-deficient anticodon stem-loops”. </w:t>
      </w:r>
      <w:r w:rsidRPr="002907DF">
        <w:rPr>
          <w:rFonts w:cs="Arial"/>
          <w:i/>
          <w:color w:val="000000"/>
          <w:szCs w:val="22"/>
        </w:rPr>
        <w:t>Proc. Natl. Acad. Sci. U S A.</w:t>
      </w:r>
      <w:r w:rsidRPr="002907DF">
        <w:rPr>
          <w:rFonts w:cs="Arial"/>
          <w:color w:val="000000"/>
          <w:szCs w:val="22"/>
        </w:rPr>
        <w:t xml:space="preserve">, </w:t>
      </w:r>
      <w:r w:rsidRPr="002907DF">
        <w:rPr>
          <w:rFonts w:cs="Arial"/>
          <w:b/>
          <w:color w:val="000000"/>
          <w:szCs w:val="22"/>
        </w:rPr>
        <w:t>111(35)</w:t>
      </w:r>
      <w:r w:rsidRPr="002907DF">
        <w:rPr>
          <w:rFonts w:cs="Arial"/>
          <w:color w:val="000000"/>
          <w:szCs w:val="22"/>
        </w:rPr>
        <w:t>, pp. 12740-12745, 2014. PMID: 25128388.</w:t>
      </w:r>
    </w:p>
    <w:p w14:paraId="3C297635" w14:textId="77777777" w:rsidR="00A93370" w:rsidRDefault="00A93370" w:rsidP="00A93370">
      <w:pPr>
        <w:ind w:left="540"/>
        <w:rPr>
          <w:rFonts w:cs="Arial"/>
          <w:szCs w:val="22"/>
        </w:rPr>
      </w:pPr>
      <w:r w:rsidRPr="002907DF">
        <w:rPr>
          <w:rFonts w:cs="Arial"/>
          <w:szCs w:val="22"/>
        </w:rPr>
        <w:t>[</w:t>
      </w:r>
      <w:r w:rsidRPr="007A585D">
        <w:rPr>
          <w:rFonts w:cs="Arial"/>
          <w:szCs w:val="22"/>
        </w:rPr>
        <w:t>*</w:t>
      </w:r>
      <w:r w:rsidRPr="002907DF">
        <w:rPr>
          <w:rFonts w:cs="Arial"/>
          <w:szCs w:val="22"/>
        </w:rPr>
        <w:t>These authors contributed equally]</w:t>
      </w:r>
    </w:p>
    <w:p w14:paraId="1DA8A127" w14:textId="77777777" w:rsidR="00A93370" w:rsidRPr="002B6931" w:rsidRDefault="00A93370" w:rsidP="00A93370">
      <w:pPr>
        <w:ind w:left="540"/>
        <w:rPr>
          <w:rFonts w:cs="Arial"/>
          <w:szCs w:val="22"/>
        </w:rPr>
      </w:pPr>
    </w:p>
    <w:p w14:paraId="693B1D19" w14:textId="77777777" w:rsidR="00A93370" w:rsidRPr="002907DF" w:rsidRDefault="00A93370" w:rsidP="00A93370">
      <w:pPr>
        <w:pStyle w:val="ListParagraph"/>
        <w:numPr>
          <w:ilvl w:val="0"/>
          <w:numId w:val="20"/>
        </w:numPr>
        <w:ind w:left="540"/>
        <w:rPr>
          <w:rFonts w:cs="Arial"/>
          <w:szCs w:val="22"/>
        </w:rPr>
      </w:pPr>
      <w:r w:rsidRPr="002907DF">
        <w:rPr>
          <w:rFonts w:cs="Arial"/>
          <w:szCs w:val="22"/>
        </w:rPr>
        <w:t xml:space="preserve">Fagan, C. E., </w:t>
      </w:r>
      <w:r w:rsidRPr="002907DF">
        <w:rPr>
          <w:rFonts w:cs="Arial"/>
          <w:b/>
          <w:szCs w:val="22"/>
        </w:rPr>
        <w:t>Maehigashi, T.</w:t>
      </w:r>
      <w:r w:rsidRPr="002907DF">
        <w:rPr>
          <w:rFonts w:cs="Arial"/>
          <w:szCs w:val="22"/>
        </w:rPr>
        <w:t xml:space="preserve">, Dunkle, J. A., Miles, S. J. and Dunham, C. M., “Structural insights into translational recoding by frameshift suppressor </w:t>
      </w:r>
      <w:proofErr w:type="spellStart"/>
      <w:r w:rsidRPr="002907DF">
        <w:rPr>
          <w:rFonts w:cs="Arial"/>
          <w:szCs w:val="22"/>
        </w:rPr>
        <w:t>tRNA</w:t>
      </w:r>
      <w:r w:rsidRPr="002907DF">
        <w:rPr>
          <w:rFonts w:cs="Arial"/>
          <w:szCs w:val="22"/>
          <w:vertAlign w:val="superscript"/>
        </w:rPr>
        <w:t>SufJ</w:t>
      </w:r>
      <w:proofErr w:type="spellEnd"/>
      <w:r w:rsidRPr="002907DF">
        <w:rPr>
          <w:rFonts w:cs="Arial"/>
          <w:szCs w:val="22"/>
        </w:rPr>
        <w:t xml:space="preserve">”. </w:t>
      </w:r>
      <w:r w:rsidRPr="002907DF">
        <w:rPr>
          <w:rFonts w:cs="Arial"/>
          <w:i/>
          <w:szCs w:val="22"/>
        </w:rPr>
        <w:t xml:space="preserve">RNA, </w:t>
      </w:r>
      <w:r w:rsidRPr="002907DF">
        <w:rPr>
          <w:rFonts w:cs="Arial"/>
          <w:b/>
          <w:szCs w:val="22"/>
        </w:rPr>
        <w:t>20(12)</w:t>
      </w:r>
      <w:r w:rsidRPr="002907DF">
        <w:rPr>
          <w:rFonts w:cs="Arial"/>
          <w:szCs w:val="22"/>
        </w:rPr>
        <w:t>, pp. 1944-1954, 2014. PMID: 25352689.</w:t>
      </w:r>
    </w:p>
    <w:p w14:paraId="1BD8304F" w14:textId="77777777" w:rsidR="00A93370" w:rsidRDefault="00A93370" w:rsidP="00A93370">
      <w:pPr>
        <w:pStyle w:val="DataField11pt-Single"/>
        <w:spacing w:before="240"/>
        <w:jc w:val="both"/>
        <w:rPr>
          <w:szCs w:val="22"/>
        </w:rPr>
      </w:pPr>
      <w:r>
        <w:rPr>
          <w:szCs w:val="22"/>
        </w:rPr>
        <w:t xml:space="preserve">3. Bacterial toxin-antitoxin (TA) systems regulate key cellular processes to promote cell survival during periods of stress. Among known TA systems, Type II TA operons encode small antitoxin and toxin protein that under normal growth conditions form a tight, nontoxic complex. These complexes transcriptionally </w:t>
      </w:r>
      <w:proofErr w:type="spellStart"/>
      <w:r>
        <w:rPr>
          <w:szCs w:val="22"/>
        </w:rPr>
        <w:t>autorepress</w:t>
      </w:r>
      <w:proofErr w:type="spellEnd"/>
      <w:r>
        <w:rPr>
          <w:szCs w:val="22"/>
        </w:rPr>
        <w:t xml:space="preserve"> by binding at operator sequences in their promoter region. Upon stress, the antitoxin is degraded by proteases, allowing the toxin to target key cellular processes, including translation (</w:t>
      </w:r>
      <w:proofErr w:type="spellStart"/>
      <w:r>
        <w:rPr>
          <w:szCs w:val="22"/>
        </w:rPr>
        <w:t>eg</w:t>
      </w:r>
      <w:proofErr w:type="spellEnd"/>
      <w:r>
        <w:rPr>
          <w:szCs w:val="22"/>
        </w:rPr>
        <w:t xml:space="preserve">. ribosome-bound mRNA). We have solved x-ray crystal structures of the ribosome-dependent TA systems; </w:t>
      </w:r>
      <w:proofErr w:type="spellStart"/>
      <w:r w:rsidRPr="007A585D">
        <w:rPr>
          <w:i/>
          <w:szCs w:val="22"/>
        </w:rPr>
        <w:t>proteus</w:t>
      </w:r>
      <w:proofErr w:type="spellEnd"/>
      <w:r w:rsidRPr="007A585D">
        <w:rPr>
          <w:i/>
          <w:szCs w:val="22"/>
        </w:rPr>
        <w:t xml:space="preserve"> </w:t>
      </w:r>
      <w:proofErr w:type="spellStart"/>
      <w:r w:rsidRPr="007A585D">
        <w:rPr>
          <w:i/>
          <w:szCs w:val="22"/>
        </w:rPr>
        <w:t>volgaris</w:t>
      </w:r>
      <w:proofErr w:type="spellEnd"/>
      <w:r>
        <w:rPr>
          <w:szCs w:val="22"/>
        </w:rPr>
        <w:t xml:space="preserve"> </w:t>
      </w:r>
      <w:proofErr w:type="spellStart"/>
      <w:r>
        <w:rPr>
          <w:szCs w:val="22"/>
        </w:rPr>
        <w:t>HigBA</w:t>
      </w:r>
      <w:proofErr w:type="spellEnd"/>
      <w:r>
        <w:rPr>
          <w:szCs w:val="22"/>
        </w:rPr>
        <w:t xml:space="preserve"> (</w:t>
      </w:r>
      <w:r w:rsidRPr="007A585D">
        <w:rPr>
          <w:b/>
          <w:szCs w:val="22"/>
        </w:rPr>
        <w:t>ref. a</w:t>
      </w:r>
      <w:r>
        <w:rPr>
          <w:szCs w:val="22"/>
        </w:rPr>
        <w:t xml:space="preserve">) and </w:t>
      </w:r>
      <w:r w:rsidRPr="002737CD">
        <w:rPr>
          <w:i/>
          <w:szCs w:val="22"/>
        </w:rPr>
        <w:t>E. coli</w:t>
      </w:r>
      <w:r>
        <w:rPr>
          <w:szCs w:val="22"/>
        </w:rPr>
        <w:t xml:space="preserve"> DinJ-YafQ TA complexes (</w:t>
      </w:r>
      <w:r w:rsidRPr="007A585D">
        <w:rPr>
          <w:b/>
          <w:szCs w:val="22"/>
        </w:rPr>
        <w:t>ref. b</w:t>
      </w:r>
      <w:r>
        <w:rPr>
          <w:szCs w:val="22"/>
        </w:rPr>
        <w:t>). We further biochemically analyzed how ribosome-dependent toxin YafQ mediates recognition of both the ribosome and the mRNA substrate (</w:t>
      </w:r>
      <w:r w:rsidRPr="00C858E0">
        <w:rPr>
          <w:b/>
          <w:szCs w:val="22"/>
        </w:rPr>
        <w:t>ref. c</w:t>
      </w:r>
      <w:r>
        <w:rPr>
          <w:szCs w:val="22"/>
        </w:rPr>
        <w:t>).</w:t>
      </w:r>
    </w:p>
    <w:p w14:paraId="4FC21393" w14:textId="77777777" w:rsidR="00A93370" w:rsidRDefault="00A93370" w:rsidP="00A93370">
      <w:pPr>
        <w:pStyle w:val="ListParagraph"/>
        <w:numPr>
          <w:ilvl w:val="1"/>
          <w:numId w:val="21"/>
        </w:numPr>
        <w:adjustRightInd w:val="0"/>
        <w:spacing w:before="240"/>
        <w:ind w:left="540"/>
        <w:rPr>
          <w:rFonts w:cs="Arial"/>
          <w:color w:val="000000"/>
          <w:szCs w:val="22"/>
        </w:rPr>
      </w:pPr>
      <w:r w:rsidRPr="002907DF">
        <w:rPr>
          <w:rFonts w:cs="Arial"/>
          <w:color w:val="000000"/>
          <w:szCs w:val="22"/>
        </w:rPr>
        <w:t xml:space="preserve">Schureck, M. A., </w:t>
      </w:r>
      <w:r w:rsidRPr="002907DF">
        <w:rPr>
          <w:rFonts w:cs="Arial"/>
          <w:b/>
          <w:color w:val="000000"/>
          <w:szCs w:val="22"/>
        </w:rPr>
        <w:t>Maehigashi, T.</w:t>
      </w:r>
      <w:r w:rsidRPr="002907DF">
        <w:rPr>
          <w:rFonts w:cs="Arial"/>
          <w:color w:val="000000"/>
          <w:szCs w:val="22"/>
        </w:rPr>
        <w:t xml:space="preserve">, Miles, S. J., Marquez, J., </w:t>
      </w:r>
      <w:proofErr w:type="spellStart"/>
      <w:r w:rsidRPr="002907DF">
        <w:rPr>
          <w:rFonts w:cs="Arial"/>
          <w:color w:val="000000"/>
          <w:szCs w:val="22"/>
        </w:rPr>
        <w:t>Ei</w:t>
      </w:r>
      <w:proofErr w:type="spellEnd"/>
      <w:r w:rsidRPr="002907DF">
        <w:rPr>
          <w:rFonts w:cs="Arial"/>
          <w:color w:val="000000"/>
          <w:szCs w:val="22"/>
        </w:rPr>
        <w:t xml:space="preserve"> Cho, S., Erdman, R. and Dunham, C. M., “Structure of the P vulgaris </w:t>
      </w:r>
      <w:proofErr w:type="spellStart"/>
      <w:r w:rsidRPr="002907DF">
        <w:rPr>
          <w:rFonts w:cs="Arial"/>
          <w:color w:val="000000"/>
          <w:szCs w:val="22"/>
        </w:rPr>
        <w:t>HigB</w:t>
      </w:r>
      <w:proofErr w:type="spellEnd"/>
      <w:r w:rsidRPr="002907DF">
        <w:rPr>
          <w:rFonts w:cs="Arial"/>
          <w:color w:val="000000"/>
          <w:szCs w:val="22"/>
        </w:rPr>
        <w:t>-(HigA)</w:t>
      </w:r>
      <w:r w:rsidRPr="002907DF">
        <w:rPr>
          <w:rFonts w:cs="Arial"/>
          <w:color w:val="000000"/>
          <w:szCs w:val="22"/>
          <w:vertAlign w:val="subscript"/>
        </w:rPr>
        <w:t>2</w:t>
      </w:r>
      <w:r w:rsidRPr="002907DF">
        <w:rPr>
          <w:rFonts w:cs="Arial"/>
          <w:color w:val="000000"/>
          <w:szCs w:val="22"/>
        </w:rPr>
        <w:t xml:space="preserve">-HigB toxin-antitoxin complex”. </w:t>
      </w:r>
      <w:r w:rsidRPr="002907DF">
        <w:rPr>
          <w:rFonts w:cs="Arial"/>
          <w:i/>
          <w:color w:val="000000"/>
          <w:szCs w:val="22"/>
        </w:rPr>
        <w:t>J. Biol. Chem.</w:t>
      </w:r>
      <w:r w:rsidRPr="002907DF">
        <w:rPr>
          <w:rFonts w:cs="Arial"/>
          <w:color w:val="000000"/>
          <w:szCs w:val="22"/>
        </w:rPr>
        <w:t xml:space="preserve">, </w:t>
      </w:r>
      <w:r w:rsidRPr="002907DF">
        <w:rPr>
          <w:rFonts w:cs="Arial"/>
          <w:b/>
          <w:color w:val="000000"/>
          <w:szCs w:val="22"/>
        </w:rPr>
        <w:t>289(2)</w:t>
      </w:r>
      <w:r w:rsidRPr="002907DF">
        <w:rPr>
          <w:rFonts w:cs="Arial"/>
          <w:color w:val="000000"/>
          <w:szCs w:val="22"/>
        </w:rPr>
        <w:t>, pp. 1060-1070, 2014</w:t>
      </w:r>
      <w:r w:rsidRPr="002907DF">
        <w:rPr>
          <w:rFonts w:cs="Arial"/>
          <w:b/>
          <w:color w:val="000000"/>
          <w:szCs w:val="22"/>
        </w:rPr>
        <w:t xml:space="preserve">. </w:t>
      </w:r>
      <w:r w:rsidRPr="002907DF">
        <w:rPr>
          <w:rFonts w:cs="Arial"/>
          <w:color w:val="000000"/>
          <w:szCs w:val="22"/>
        </w:rPr>
        <w:t>PMID: 24257752.</w:t>
      </w:r>
    </w:p>
    <w:p w14:paraId="6375D62D" w14:textId="77777777" w:rsidR="00A93370" w:rsidRPr="002907DF" w:rsidRDefault="00A93370" w:rsidP="00A93370">
      <w:pPr>
        <w:pStyle w:val="ListParagraph"/>
        <w:adjustRightInd w:val="0"/>
        <w:ind w:left="540"/>
        <w:rPr>
          <w:rFonts w:cs="Arial"/>
          <w:color w:val="000000"/>
          <w:szCs w:val="22"/>
        </w:rPr>
      </w:pPr>
    </w:p>
    <w:p w14:paraId="3AA66C24" w14:textId="77777777" w:rsidR="00A93370" w:rsidRPr="002907DF" w:rsidRDefault="00A93370" w:rsidP="00A93370">
      <w:pPr>
        <w:pStyle w:val="ListParagraph"/>
        <w:numPr>
          <w:ilvl w:val="1"/>
          <w:numId w:val="21"/>
        </w:numPr>
        <w:ind w:left="540"/>
        <w:rPr>
          <w:rFonts w:cs="Arial"/>
          <w:color w:val="000000"/>
          <w:szCs w:val="22"/>
        </w:rPr>
      </w:pPr>
      <w:r w:rsidRPr="007A585D">
        <w:rPr>
          <w:rFonts w:cs="Arial"/>
          <w:szCs w:val="22"/>
        </w:rPr>
        <w:t xml:space="preserve">Ruangprasert*, A., </w:t>
      </w:r>
      <w:r w:rsidRPr="007A585D">
        <w:rPr>
          <w:rFonts w:cs="Arial"/>
          <w:b/>
          <w:szCs w:val="22"/>
        </w:rPr>
        <w:t>Maehigashi*, T.</w:t>
      </w:r>
      <w:r w:rsidRPr="007A585D">
        <w:rPr>
          <w:rFonts w:cs="Arial"/>
          <w:szCs w:val="22"/>
        </w:rPr>
        <w:t>, Miles</w:t>
      </w:r>
      <w:r w:rsidRPr="002907DF">
        <w:rPr>
          <w:rFonts w:cs="Arial"/>
          <w:color w:val="000000"/>
          <w:szCs w:val="22"/>
        </w:rPr>
        <w:t xml:space="preserve">, J. M., </w:t>
      </w:r>
      <w:proofErr w:type="spellStart"/>
      <w:r w:rsidRPr="002907DF">
        <w:rPr>
          <w:rFonts w:cs="Arial"/>
          <w:color w:val="000000"/>
          <w:szCs w:val="22"/>
        </w:rPr>
        <w:t>Giridharan</w:t>
      </w:r>
      <w:proofErr w:type="spellEnd"/>
      <w:r w:rsidRPr="002907DF">
        <w:rPr>
          <w:rFonts w:cs="Arial"/>
          <w:color w:val="000000"/>
          <w:szCs w:val="22"/>
        </w:rPr>
        <w:t xml:space="preserve">, N., Liu, J. X. and Dunham, C. M., “Mechanisms of toxin inhibition and transcriptional repression by </w:t>
      </w:r>
      <w:r w:rsidRPr="002907DF">
        <w:rPr>
          <w:rFonts w:cs="Arial"/>
          <w:i/>
          <w:color w:val="000000"/>
          <w:szCs w:val="22"/>
        </w:rPr>
        <w:t>E. coli</w:t>
      </w:r>
      <w:r w:rsidRPr="002907DF">
        <w:rPr>
          <w:rFonts w:cs="Arial"/>
          <w:color w:val="000000"/>
          <w:szCs w:val="22"/>
        </w:rPr>
        <w:t xml:space="preserve"> DinJ-YafQ”. </w:t>
      </w:r>
      <w:r w:rsidRPr="002907DF">
        <w:rPr>
          <w:rFonts w:cs="Arial"/>
          <w:i/>
          <w:color w:val="000000"/>
          <w:szCs w:val="22"/>
        </w:rPr>
        <w:t>J. Biol. Chem.</w:t>
      </w:r>
      <w:r w:rsidRPr="002907DF">
        <w:rPr>
          <w:rFonts w:cs="Arial"/>
          <w:color w:val="000000"/>
          <w:szCs w:val="22"/>
        </w:rPr>
        <w:t xml:space="preserve">, </w:t>
      </w:r>
      <w:r w:rsidRPr="002907DF">
        <w:rPr>
          <w:rFonts w:cs="Arial"/>
          <w:b/>
          <w:color w:val="000000"/>
          <w:szCs w:val="22"/>
        </w:rPr>
        <w:t>289(30)</w:t>
      </w:r>
      <w:r w:rsidRPr="002907DF">
        <w:rPr>
          <w:rFonts w:cs="Arial"/>
          <w:color w:val="000000"/>
          <w:szCs w:val="22"/>
        </w:rPr>
        <w:t>, pp. 20559-20569, 2014.  PMID: 24898247.</w:t>
      </w:r>
    </w:p>
    <w:p w14:paraId="1D8F7B38" w14:textId="77777777" w:rsidR="00A93370" w:rsidRPr="002907DF" w:rsidRDefault="00A93370" w:rsidP="00A93370">
      <w:pPr>
        <w:pStyle w:val="ListParagraph"/>
        <w:ind w:left="540"/>
        <w:rPr>
          <w:rFonts w:cs="Arial"/>
          <w:szCs w:val="22"/>
        </w:rPr>
      </w:pPr>
      <w:r w:rsidRPr="002907DF">
        <w:rPr>
          <w:rFonts w:cs="Arial"/>
          <w:szCs w:val="22"/>
        </w:rPr>
        <w:t>[</w:t>
      </w:r>
      <w:r w:rsidRPr="007A585D">
        <w:rPr>
          <w:rFonts w:cs="Arial"/>
          <w:szCs w:val="22"/>
        </w:rPr>
        <w:t>*</w:t>
      </w:r>
      <w:r w:rsidRPr="002907DF">
        <w:rPr>
          <w:rFonts w:cs="Arial"/>
          <w:szCs w:val="22"/>
        </w:rPr>
        <w:t xml:space="preserve">These authors contributed equally] </w:t>
      </w:r>
    </w:p>
    <w:p w14:paraId="2476DA87" w14:textId="77777777" w:rsidR="00A93370" w:rsidRDefault="00A93370" w:rsidP="00A93370">
      <w:pPr>
        <w:ind w:left="540"/>
        <w:rPr>
          <w:rFonts w:cs="Arial"/>
          <w:szCs w:val="22"/>
        </w:rPr>
      </w:pPr>
    </w:p>
    <w:p w14:paraId="7EAA35F2" w14:textId="77777777" w:rsidR="00A93370" w:rsidRPr="002907DF" w:rsidRDefault="00A93370" w:rsidP="00A93370">
      <w:pPr>
        <w:pStyle w:val="ListParagraph"/>
        <w:numPr>
          <w:ilvl w:val="1"/>
          <w:numId w:val="21"/>
        </w:numPr>
        <w:ind w:left="540"/>
        <w:rPr>
          <w:rFonts w:cs="Arial"/>
          <w:szCs w:val="22"/>
        </w:rPr>
      </w:pPr>
      <w:r w:rsidRPr="007A585D">
        <w:rPr>
          <w:rFonts w:cs="Arial"/>
          <w:b/>
          <w:szCs w:val="22"/>
        </w:rPr>
        <w:t>Maehigashi</w:t>
      </w:r>
      <w:r>
        <w:rPr>
          <w:rFonts w:cs="Arial"/>
          <w:b/>
          <w:szCs w:val="22"/>
        </w:rPr>
        <w:t>*</w:t>
      </w:r>
      <w:r w:rsidRPr="007A585D">
        <w:rPr>
          <w:rFonts w:cs="Arial"/>
          <w:b/>
          <w:szCs w:val="22"/>
        </w:rPr>
        <w:t>, T</w:t>
      </w:r>
      <w:r w:rsidRPr="002907DF">
        <w:rPr>
          <w:rFonts w:cs="Arial"/>
          <w:szCs w:val="22"/>
        </w:rPr>
        <w:t>., Ruangprasert</w:t>
      </w:r>
      <w:r>
        <w:rPr>
          <w:rFonts w:cs="Arial"/>
          <w:szCs w:val="22"/>
        </w:rPr>
        <w:t>*</w:t>
      </w:r>
      <w:r w:rsidRPr="002907DF">
        <w:rPr>
          <w:rFonts w:cs="Arial"/>
          <w:szCs w:val="22"/>
        </w:rPr>
        <w:t xml:space="preserve">, A., Miles, S. J., Dunham, C. M., “Molecular Basis of ribosome recognition and mRNA hydrolysis by the E. coli YafQ toxin”. </w:t>
      </w:r>
      <w:r w:rsidRPr="002907DF">
        <w:rPr>
          <w:rFonts w:cs="Arial"/>
          <w:i/>
          <w:szCs w:val="22"/>
        </w:rPr>
        <w:t>Nucleic Acids Res.</w:t>
      </w:r>
      <w:r w:rsidRPr="002907DF">
        <w:rPr>
          <w:rFonts w:cs="Arial"/>
          <w:szCs w:val="22"/>
        </w:rPr>
        <w:t xml:space="preserve"> 2015. PMID 26261214. [</w:t>
      </w:r>
      <w:proofErr w:type="spellStart"/>
      <w:r w:rsidRPr="002907DF">
        <w:rPr>
          <w:rFonts w:cs="Arial"/>
          <w:szCs w:val="22"/>
        </w:rPr>
        <w:t>Epub</w:t>
      </w:r>
      <w:proofErr w:type="spellEnd"/>
      <w:r w:rsidRPr="002907DF">
        <w:rPr>
          <w:rFonts w:cs="Arial"/>
          <w:szCs w:val="22"/>
        </w:rPr>
        <w:t xml:space="preserve"> ahead of print] [</w:t>
      </w:r>
      <w:r w:rsidRPr="007A585D">
        <w:rPr>
          <w:rFonts w:cs="Arial"/>
          <w:szCs w:val="22"/>
        </w:rPr>
        <w:t>*</w:t>
      </w:r>
      <w:r w:rsidRPr="002907DF">
        <w:rPr>
          <w:rFonts w:cs="Arial"/>
          <w:szCs w:val="22"/>
        </w:rPr>
        <w:t>These authors contributed equally]</w:t>
      </w:r>
    </w:p>
    <w:p w14:paraId="62E47B00" w14:textId="77777777" w:rsidR="00A93370" w:rsidRDefault="00A93370" w:rsidP="00A93370">
      <w:pPr>
        <w:pStyle w:val="DataField11pt-Single"/>
        <w:spacing w:before="240"/>
        <w:jc w:val="both"/>
        <w:rPr>
          <w:szCs w:val="22"/>
        </w:rPr>
      </w:pPr>
      <w:r>
        <w:rPr>
          <w:szCs w:val="22"/>
        </w:rPr>
        <w:t xml:space="preserve">3. In collaboration with Dr. Charles Moran group, we have determined the structure of the basal components of a bacterial transporter </w:t>
      </w:r>
      <w:proofErr w:type="spellStart"/>
      <w:r>
        <w:rPr>
          <w:szCs w:val="22"/>
        </w:rPr>
        <w:t>SpoIIQ</w:t>
      </w:r>
      <w:proofErr w:type="spellEnd"/>
      <w:r>
        <w:rPr>
          <w:szCs w:val="22"/>
        </w:rPr>
        <w:t xml:space="preserve"> and </w:t>
      </w:r>
      <w:proofErr w:type="spellStart"/>
      <w:r>
        <w:rPr>
          <w:szCs w:val="22"/>
        </w:rPr>
        <w:t>SpoIIIAH</w:t>
      </w:r>
      <w:proofErr w:type="spellEnd"/>
      <w:r>
        <w:rPr>
          <w:szCs w:val="22"/>
        </w:rPr>
        <w:t xml:space="preserve">. These proteins interact through two membranes to connect the </w:t>
      </w:r>
      <w:proofErr w:type="spellStart"/>
      <w:r>
        <w:rPr>
          <w:szCs w:val="22"/>
        </w:rPr>
        <w:t>forespore</w:t>
      </w:r>
      <w:proofErr w:type="spellEnd"/>
      <w:r>
        <w:rPr>
          <w:szCs w:val="22"/>
        </w:rPr>
        <w:t xml:space="preserve"> and the mother cell during endospore development in the bacterium </w:t>
      </w:r>
      <w:r w:rsidRPr="00266651">
        <w:rPr>
          <w:i/>
          <w:szCs w:val="22"/>
        </w:rPr>
        <w:t>Bacillus subtilis</w:t>
      </w:r>
      <w:r>
        <w:rPr>
          <w:szCs w:val="22"/>
        </w:rPr>
        <w:t xml:space="preserve"> (</w:t>
      </w:r>
      <w:r w:rsidRPr="00E4604C">
        <w:rPr>
          <w:b/>
          <w:szCs w:val="22"/>
        </w:rPr>
        <w:t>ref. a</w:t>
      </w:r>
      <w:r>
        <w:rPr>
          <w:szCs w:val="22"/>
        </w:rPr>
        <w:t xml:space="preserve">). The predicted ring-forming motif of </w:t>
      </w:r>
      <w:proofErr w:type="spellStart"/>
      <w:r>
        <w:rPr>
          <w:szCs w:val="22"/>
        </w:rPr>
        <w:t>SpoIIIAH</w:t>
      </w:r>
      <w:proofErr w:type="spellEnd"/>
      <w:r>
        <w:rPr>
          <w:szCs w:val="22"/>
        </w:rPr>
        <w:t xml:space="preserve"> and other evidence led to the model that </w:t>
      </w:r>
      <w:proofErr w:type="spellStart"/>
      <w:r>
        <w:rPr>
          <w:szCs w:val="22"/>
        </w:rPr>
        <w:t>SpoIIQ</w:t>
      </w:r>
      <w:proofErr w:type="spellEnd"/>
      <w:r>
        <w:rPr>
          <w:szCs w:val="22"/>
        </w:rPr>
        <w:t xml:space="preserve"> and </w:t>
      </w:r>
      <w:proofErr w:type="spellStart"/>
      <w:r>
        <w:rPr>
          <w:szCs w:val="22"/>
        </w:rPr>
        <w:t>SpoIIIAH</w:t>
      </w:r>
      <w:proofErr w:type="spellEnd"/>
      <w:r>
        <w:rPr>
          <w:szCs w:val="22"/>
        </w:rPr>
        <w:t xml:space="preserve"> form the core components of a channel or transporter through which the mother cell nurtures </w:t>
      </w:r>
      <w:proofErr w:type="spellStart"/>
      <w:r>
        <w:rPr>
          <w:szCs w:val="22"/>
        </w:rPr>
        <w:t>forespore</w:t>
      </w:r>
      <w:proofErr w:type="spellEnd"/>
      <w:r>
        <w:rPr>
          <w:szCs w:val="22"/>
        </w:rPr>
        <w:t xml:space="preserve"> development, which we simulated through molecular modeling using the determined crystal structure of these proteins. In collaboration with Dr. Nancy Woychik group, we have provided the molecular modeling evidence to support their biochemical finding of how Doc toxin from bacteriophage P1 inactivates elongation factor </w:t>
      </w:r>
      <w:proofErr w:type="spellStart"/>
      <w:r>
        <w:rPr>
          <w:szCs w:val="22"/>
        </w:rPr>
        <w:t>Tu</w:t>
      </w:r>
      <w:proofErr w:type="spellEnd"/>
      <w:r>
        <w:rPr>
          <w:szCs w:val="22"/>
        </w:rPr>
        <w:t xml:space="preserve"> by phosphorylating a single amino acid, which leads to the protein synthesis and thereby arrests cell growth (</w:t>
      </w:r>
      <w:r w:rsidRPr="00C81AA0">
        <w:rPr>
          <w:b/>
          <w:szCs w:val="22"/>
        </w:rPr>
        <w:t>ref. b</w:t>
      </w:r>
      <w:r>
        <w:rPr>
          <w:szCs w:val="22"/>
        </w:rPr>
        <w:t xml:space="preserve">). This work and others further demonstrated the diverse function of toxin-antitoxin systems. In other collaborative work with Woychik group, we also showed how growth-regulating Mycobacterium tuberculosis VapC-mt4 toxin is an isoacceptor-specific </w:t>
      </w:r>
      <w:proofErr w:type="spellStart"/>
      <w:r>
        <w:rPr>
          <w:szCs w:val="22"/>
        </w:rPr>
        <w:t>tRNase</w:t>
      </w:r>
      <w:proofErr w:type="spellEnd"/>
      <w:r>
        <w:rPr>
          <w:szCs w:val="22"/>
        </w:rPr>
        <w:t xml:space="preserve"> by providing how </w:t>
      </w:r>
      <w:proofErr w:type="spellStart"/>
      <w:r>
        <w:rPr>
          <w:szCs w:val="22"/>
        </w:rPr>
        <w:t>VapC</w:t>
      </w:r>
      <w:proofErr w:type="spellEnd"/>
      <w:r>
        <w:rPr>
          <w:szCs w:val="22"/>
        </w:rPr>
        <w:t xml:space="preserve"> potentially interact with the target tRNAs through molecular modeling (</w:t>
      </w:r>
      <w:r w:rsidRPr="007C1928">
        <w:rPr>
          <w:b/>
          <w:szCs w:val="22"/>
        </w:rPr>
        <w:t>ref. c</w:t>
      </w:r>
      <w:r>
        <w:rPr>
          <w:szCs w:val="22"/>
        </w:rPr>
        <w:t xml:space="preserve">).  </w:t>
      </w:r>
    </w:p>
    <w:p w14:paraId="724F9307" w14:textId="77777777" w:rsidR="00A93370" w:rsidRPr="002907DF" w:rsidRDefault="00A93370" w:rsidP="00A93370">
      <w:pPr>
        <w:pStyle w:val="ListParagraph"/>
        <w:numPr>
          <w:ilvl w:val="0"/>
          <w:numId w:val="22"/>
        </w:numPr>
        <w:spacing w:before="240"/>
        <w:ind w:left="540"/>
        <w:rPr>
          <w:rFonts w:cs="Arial"/>
          <w:szCs w:val="22"/>
        </w:rPr>
      </w:pPr>
      <w:r w:rsidRPr="00CC5722">
        <w:rPr>
          <w:rFonts w:cs="Arial"/>
          <w:szCs w:val="22"/>
        </w:rPr>
        <w:t xml:space="preserve">Meisner*, J., </w:t>
      </w:r>
      <w:r w:rsidRPr="00CC5722">
        <w:rPr>
          <w:rFonts w:cs="Arial"/>
          <w:b/>
          <w:szCs w:val="22"/>
        </w:rPr>
        <w:t xml:space="preserve">Maehigashi*, </w:t>
      </w:r>
      <w:r w:rsidRPr="002907DF">
        <w:rPr>
          <w:rFonts w:cs="Arial"/>
          <w:b/>
          <w:color w:val="000000"/>
          <w:szCs w:val="22"/>
        </w:rPr>
        <w:t>T.</w:t>
      </w:r>
      <w:r w:rsidRPr="002907DF">
        <w:rPr>
          <w:rFonts w:cs="Arial"/>
          <w:color w:val="000000"/>
          <w:szCs w:val="22"/>
        </w:rPr>
        <w:t xml:space="preserve">, Andre, I., Dunham, C. M., Moran Jr., C. P., “Structure of the basal components of a novel bacterial transporter”. </w:t>
      </w:r>
      <w:r w:rsidRPr="002907DF">
        <w:rPr>
          <w:rFonts w:cs="Arial"/>
          <w:i/>
          <w:color w:val="000000"/>
          <w:szCs w:val="22"/>
        </w:rPr>
        <w:t xml:space="preserve">Proc. </w:t>
      </w:r>
      <w:proofErr w:type="spellStart"/>
      <w:r w:rsidRPr="002907DF">
        <w:rPr>
          <w:rFonts w:cs="Arial"/>
          <w:i/>
          <w:color w:val="000000"/>
          <w:szCs w:val="22"/>
        </w:rPr>
        <w:t>Natil</w:t>
      </w:r>
      <w:proofErr w:type="spellEnd"/>
      <w:r w:rsidRPr="002907DF">
        <w:rPr>
          <w:rFonts w:cs="Arial"/>
          <w:i/>
          <w:color w:val="000000"/>
          <w:szCs w:val="22"/>
        </w:rPr>
        <w:t xml:space="preserve">. Acad. Sci. U S </w:t>
      </w:r>
      <w:proofErr w:type="gramStart"/>
      <w:r w:rsidRPr="002907DF">
        <w:rPr>
          <w:rFonts w:cs="Arial"/>
          <w:i/>
          <w:color w:val="000000"/>
          <w:szCs w:val="22"/>
        </w:rPr>
        <w:t>A.</w:t>
      </w:r>
      <w:r w:rsidRPr="002907DF">
        <w:rPr>
          <w:rFonts w:cs="Arial"/>
          <w:color w:val="000000"/>
          <w:szCs w:val="22"/>
        </w:rPr>
        <w:t xml:space="preserve"> ,</w:t>
      </w:r>
      <w:proofErr w:type="gramEnd"/>
      <w:r w:rsidRPr="002907DF">
        <w:rPr>
          <w:rFonts w:cs="Arial"/>
          <w:color w:val="000000"/>
          <w:szCs w:val="22"/>
        </w:rPr>
        <w:t xml:space="preserve"> </w:t>
      </w:r>
      <w:r w:rsidRPr="002907DF">
        <w:rPr>
          <w:rFonts w:cs="Arial"/>
          <w:b/>
          <w:color w:val="000000"/>
          <w:szCs w:val="22"/>
        </w:rPr>
        <w:t xml:space="preserve">109, </w:t>
      </w:r>
      <w:r w:rsidRPr="002907DF">
        <w:rPr>
          <w:rFonts w:cs="Arial"/>
          <w:color w:val="000000"/>
          <w:szCs w:val="22"/>
        </w:rPr>
        <w:t xml:space="preserve">pp. 5446-5451, 2012. </w:t>
      </w:r>
      <w:r w:rsidRPr="002907DF">
        <w:rPr>
          <w:rFonts w:cs="Arial"/>
          <w:szCs w:val="22"/>
        </w:rPr>
        <w:t>PMID: 22431613</w:t>
      </w:r>
    </w:p>
    <w:p w14:paraId="71C86030" w14:textId="77777777" w:rsidR="00A93370" w:rsidRPr="002907DF" w:rsidRDefault="00A93370" w:rsidP="00A93370">
      <w:pPr>
        <w:pStyle w:val="ListParagraph"/>
        <w:ind w:left="540"/>
        <w:rPr>
          <w:rFonts w:cs="Arial"/>
          <w:szCs w:val="22"/>
        </w:rPr>
      </w:pPr>
      <w:r w:rsidRPr="002907DF">
        <w:rPr>
          <w:rFonts w:cs="Arial"/>
          <w:szCs w:val="22"/>
        </w:rPr>
        <w:t>[</w:t>
      </w:r>
      <w:r w:rsidRPr="00CC5722">
        <w:rPr>
          <w:rFonts w:cs="Arial"/>
          <w:szCs w:val="22"/>
        </w:rPr>
        <w:t xml:space="preserve">*These </w:t>
      </w:r>
      <w:r w:rsidRPr="002907DF">
        <w:rPr>
          <w:rFonts w:cs="Arial"/>
          <w:szCs w:val="22"/>
        </w:rPr>
        <w:t xml:space="preserve">authors contributed equally] </w:t>
      </w:r>
    </w:p>
    <w:p w14:paraId="2F1EF9F7" w14:textId="77777777" w:rsidR="00A93370" w:rsidRPr="002B6931" w:rsidRDefault="00A93370" w:rsidP="00A93370">
      <w:pPr>
        <w:ind w:left="540" w:hanging="360"/>
        <w:rPr>
          <w:rFonts w:cs="Arial"/>
          <w:szCs w:val="22"/>
        </w:rPr>
      </w:pPr>
    </w:p>
    <w:p w14:paraId="52683B31" w14:textId="77777777" w:rsidR="00A93370" w:rsidRDefault="00A93370" w:rsidP="00A93370">
      <w:pPr>
        <w:pStyle w:val="ListParagraph"/>
        <w:numPr>
          <w:ilvl w:val="0"/>
          <w:numId w:val="22"/>
        </w:numPr>
        <w:ind w:left="540"/>
        <w:rPr>
          <w:rFonts w:cs="Arial"/>
          <w:color w:val="000000"/>
          <w:szCs w:val="22"/>
        </w:rPr>
      </w:pPr>
      <w:r w:rsidRPr="002907DF">
        <w:rPr>
          <w:rFonts w:cs="Arial"/>
          <w:color w:val="000000"/>
          <w:szCs w:val="22"/>
        </w:rPr>
        <w:t>Cruz</w:t>
      </w:r>
      <w:r>
        <w:rPr>
          <w:rFonts w:cs="Arial"/>
          <w:color w:val="000000"/>
          <w:szCs w:val="22"/>
        </w:rPr>
        <w:t>*</w:t>
      </w:r>
      <w:r w:rsidRPr="002907DF">
        <w:rPr>
          <w:rFonts w:cs="Arial"/>
          <w:color w:val="000000"/>
          <w:szCs w:val="22"/>
        </w:rPr>
        <w:t xml:space="preserve">, J. W., </w:t>
      </w:r>
      <w:proofErr w:type="spellStart"/>
      <w:r w:rsidRPr="002907DF">
        <w:rPr>
          <w:rFonts w:cs="Arial"/>
          <w:color w:val="000000"/>
          <w:szCs w:val="22"/>
        </w:rPr>
        <w:t>Rothenbacher</w:t>
      </w:r>
      <w:proofErr w:type="spellEnd"/>
      <w:r>
        <w:rPr>
          <w:rFonts w:cs="Arial"/>
          <w:color w:val="000000"/>
          <w:szCs w:val="22"/>
        </w:rPr>
        <w:t>*</w:t>
      </w:r>
      <w:r w:rsidRPr="002907DF">
        <w:rPr>
          <w:rFonts w:cs="Arial"/>
          <w:color w:val="000000"/>
          <w:szCs w:val="22"/>
        </w:rPr>
        <w:t xml:space="preserve">, F. P., </w:t>
      </w:r>
      <w:r w:rsidRPr="002907DF">
        <w:rPr>
          <w:rFonts w:cs="Arial"/>
          <w:b/>
          <w:color w:val="000000"/>
          <w:szCs w:val="22"/>
        </w:rPr>
        <w:t>Maehigashi, T.</w:t>
      </w:r>
      <w:r w:rsidRPr="002907DF">
        <w:rPr>
          <w:rFonts w:cs="Arial"/>
          <w:color w:val="000000"/>
          <w:szCs w:val="22"/>
        </w:rPr>
        <w:t xml:space="preserve">, Lane, W. S., Dunham, C. M. and Woychik, N. A., “Doc toxin is a kinase that inactivates elongation factor </w:t>
      </w:r>
      <w:proofErr w:type="spellStart"/>
      <w:r w:rsidRPr="002907DF">
        <w:rPr>
          <w:rFonts w:cs="Arial"/>
          <w:color w:val="000000"/>
          <w:szCs w:val="22"/>
        </w:rPr>
        <w:t>tu</w:t>
      </w:r>
      <w:proofErr w:type="spellEnd"/>
      <w:r w:rsidRPr="002907DF">
        <w:rPr>
          <w:rFonts w:cs="Arial"/>
          <w:color w:val="000000"/>
          <w:szCs w:val="22"/>
        </w:rPr>
        <w:t xml:space="preserve">”. </w:t>
      </w:r>
      <w:r w:rsidRPr="002907DF">
        <w:rPr>
          <w:rFonts w:cs="Arial"/>
          <w:i/>
          <w:color w:val="000000"/>
          <w:szCs w:val="22"/>
        </w:rPr>
        <w:t>J. Biol. Chem.</w:t>
      </w:r>
      <w:r w:rsidRPr="002907DF">
        <w:rPr>
          <w:rFonts w:cs="Arial"/>
          <w:color w:val="000000"/>
          <w:szCs w:val="22"/>
        </w:rPr>
        <w:t xml:space="preserve">, </w:t>
      </w:r>
      <w:r w:rsidRPr="002907DF">
        <w:rPr>
          <w:rFonts w:cs="Arial"/>
          <w:b/>
          <w:color w:val="000000"/>
          <w:szCs w:val="22"/>
        </w:rPr>
        <w:t>289(11)</w:t>
      </w:r>
      <w:r w:rsidRPr="002907DF">
        <w:rPr>
          <w:rFonts w:cs="Arial"/>
          <w:color w:val="000000"/>
          <w:szCs w:val="22"/>
        </w:rPr>
        <w:t>, pp. 7788-7798, 2014. PMID: 24448800.</w:t>
      </w:r>
    </w:p>
    <w:p w14:paraId="03B3A511" w14:textId="77777777" w:rsidR="00A93370" w:rsidRPr="00CC5722" w:rsidRDefault="00A93370" w:rsidP="00A93370">
      <w:pPr>
        <w:pStyle w:val="ListParagraph"/>
        <w:ind w:left="540"/>
        <w:rPr>
          <w:rFonts w:cs="Arial"/>
          <w:color w:val="000000"/>
          <w:szCs w:val="22"/>
        </w:rPr>
      </w:pPr>
      <w:r w:rsidRPr="00CC5722">
        <w:rPr>
          <w:rFonts w:cs="Arial"/>
          <w:szCs w:val="22"/>
        </w:rPr>
        <w:t xml:space="preserve">[*These authors contributed equally] </w:t>
      </w:r>
    </w:p>
    <w:p w14:paraId="1DD01D9F" w14:textId="77777777" w:rsidR="00A93370" w:rsidRPr="002907DF" w:rsidRDefault="00A93370" w:rsidP="00A93370">
      <w:pPr>
        <w:pStyle w:val="ListParagraph"/>
        <w:ind w:left="540"/>
        <w:rPr>
          <w:rFonts w:cs="Arial"/>
          <w:color w:val="000000"/>
          <w:szCs w:val="22"/>
        </w:rPr>
      </w:pPr>
    </w:p>
    <w:p w14:paraId="540D2930" w14:textId="77777777" w:rsidR="00A93370" w:rsidRPr="004F639D" w:rsidRDefault="00A93370" w:rsidP="00A93370">
      <w:pPr>
        <w:pStyle w:val="ListParagraph"/>
        <w:numPr>
          <w:ilvl w:val="0"/>
          <w:numId w:val="22"/>
        </w:numPr>
        <w:adjustRightInd w:val="0"/>
        <w:ind w:left="540"/>
        <w:rPr>
          <w:b/>
          <w:szCs w:val="22"/>
        </w:rPr>
      </w:pPr>
      <w:r w:rsidRPr="002907DF">
        <w:rPr>
          <w:rFonts w:cs="Arial"/>
          <w:szCs w:val="22"/>
          <w:lang w:eastAsia="ja-JP"/>
        </w:rPr>
        <w:t>Cruz</w:t>
      </w:r>
      <w:r>
        <w:rPr>
          <w:rFonts w:cs="Arial"/>
          <w:szCs w:val="22"/>
          <w:lang w:eastAsia="ja-JP"/>
        </w:rPr>
        <w:t>*</w:t>
      </w:r>
      <w:r w:rsidRPr="002907DF">
        <w:rPr>
          <w:rFonts w:cs="Arial"/>
          <w:szCs w:val="22"/>
          <w:lang w:eastAsia="ja-JP"/>
        </w:rPr>
        <w:t>, J. W., Sharp</w:t>
      </w:r>
      <w:r>
        <w:rPr>
          <w:rFonts w:cs="Arial"/>
          <w:szCs w:val="22"/>
          <w:lang w:eastAsia="ja-JP"/>
        </w:rPr>
        <w:t>*</w:t>
      </w:r>
      <w:r w:rsidRPr="002907DF">
        <w:rPr>
          <w:rFonts w:cs="Arial"/>
          <w:szCs w:val="22"/>
          <w:lang w:eastAsia="ja-JP"/>
        </w:rPr>
        <w:t xml:space="preserve">, J. D., Hoffer, E. D., </w:t>
      </w:r>
      <w:r w:rsidRPr="002907DF">
        <w:rPr>
          <w:rFonts w:cs="Arial"/>
          <w:b/>
          <w:szCs w:val="22"/>
          <w:lang w:eastAsia="ja-JP"/>
        </w:rPr>
        <w:t>Maehigashi, T.</w:t>
      </w:r>
      <w:r w:rsidRPr="002907DF">
        <w:rPr>
          <w:rFonts w:cs="Arial"/>
          <w:szCs w:val="22"/>
          <w:lang w:eastAsia="ja-JP"/>
        </w:rPr>
        <w:t xml:space="preserve">, </w:t>
      </w:r>
      <w:proofErr w:type="spellStart"/>
      <w:r w:rsidRPr="002907DF">
        <w:rPr>
          <w:rFonts w:cs="Arial"/>
          <w:szCs w:val="22"/>
          <w:lang w:eastAsia="ja-JP"/>
        </w:rPr>
        <w:t>Vvedenskaya</w:t>
      </w:r>
      <w:proofErr w:type="spellEnd"/>
      <w:r w:rsidRPr="002907DF">
        <w:rPr>
          <w:rFonts w:cs="Arial"/>
          <w:szCs w:val="22"/>
          <w:lang w:eastAsia="ja-JP"/>
        </w:rPr>
        <w:t xml:space="preserve">, I. O., </w:t>
      </w:r>
      <w:proofErr w:type="spellStart"/>
      <w:r w:rsidRPr="002907DF">
        <w:rPr>
          <w:rFonts w:cs="Arial"/>
          <w:szCs w:val="22"/>
          <w:lang w:eastAsia="ja-JP"/>
        </w:rPr>
        <w:t>Konkimalla</w:t>
      </w:r>
      <w:proofErr w:type="spellEnd"/>
      <w:r w:rsidRPr="002907DF">
        <w:rPr>
          <w:rFonts w:cs="Arial"/>
          <w:szCs w:val="22"/>
          <w:lang w:eastAsia="ja-JP"/>
        </w:rPr>
        <w:t xml:space="preserve">, A., </w:t>
      </w:r>
      <w:proofErr w:type="spellStart"/>
      <w:r w:rsidRPr="002907DF">
        <w:rPr>
          <w:rFonts w:cs="Arial"/>
          <w:szCs w:val="22"/>
          <w:lang w:eastAsia="ja-JP"/>
        </w:rPr>
        <w:t>Husson</w:t>
      </w:r>
      <w:proofErr w:type="spellEnd"/>
      <w:r w:rsidRPr="002907DF">
        <w:rPr>
          <w:rFonts w:cs="Arial"/>
          <w:szCs w:val="22"/>
          <w:lang w:eastAsia="ja-JP"/>
        </w:rPr>
        <w:t xml:space="preserve">, R. N., Nickels, B. E., Dunham, C. M., and Woychik, N. A. “Growth-regulating Mycobacterium tuberculosis VapC-mt4 toxin is an isoacceptor-specific </w:t>
      </w:r>
      <w:proofErr w:type="spellStart"/>
      <w:r w:rsidRPr="002907DF">
        <w:rPr>
          <w:rFonts w:cs="Arial"/>
          <w:szCs w:val="22"/>
          <w:lang w:eastAsia="ja-JP"/>
        </w:rPr>
        <w:t>tRNase</w:t>
      </w:r>
      <w:proofErr w:type="spellEnd"/>
      <w:r w:rsidRPr="002907DF">
        <w:rPr>
          <w:rFonts w:cs="Arial"/>
          <w:szCs w:val="22"/>
          <w:lang w:eastAsia="ja-JP"/>
        </w:rPr>
        <w:t xml:space="preserve">”. </w:t>
      </w:r>
      <w:r w:rsidRPr="002907DF">
        <w:rPr>
          <w:rFonts w:cs="Arial"/>
          <w:i/>
          <w:iCs/>
          <w:szCs w:val="22"/>
          <w:lang w:eastAsia="ja-JP"/>
        </w:rPr>
        <w:t>Nature communications,</w:t>
      </w:r>
      <w:r w:rsidRPr="002907DF">
        <w:rPr>
          <w:rFonts w:cs="Arial"/>
          <w:szCs w:val="22"/>
          <w:lang w:eastAsia="ja-JP"/>
        </w:rPr>
        <w:t xml:space="preserve"> </w:t>
      </w:r>
      <w:r w:rsidRPr="002907DF">
        <w:rPr>
          <w:rFonts w:cs="Arial"/>
          <w:b/>
          <w:bCs/>
          <w:szCs w:val="22"/>
          <w:lang w:eastAsia="ja-JP"/>
        </w:rPr>
        <w:t>6</w:t>
      </w:r>
      <w:r w:rsidRPr="002907DF">
        <w:rPr>
          <w:rFonts w:cs="Arial"/>
          <w:szCs w:val="22"/>
          <w:lang w:eastAsia="ja-JP"/>
        </w:rPr>
        <w:t>, 7480. 2015. PMID: 26158745.</w:t>
      </w:r>
      <w:r w:rsidRPr="004F639D">
        <w:rPr>
          <w:rFonts w:cs="Arial"/>
          <w:szCs w:val="22"/>
        </w:rPr>
        <w:t xml:space="preserve"> </w:t>
      </w:r>
    </w:p>
    <w:p w14:paraId="17F1FAC5" w14:textId="77777777" w:rsidR="00A93370" w:rsidRPr="002907DF" w:rsidRDefault="00A93370" w:rsidP="00A93370">
      <w:pPr>
        <w:pStyle w:val="ListParagraph"/>
        <w:adjustRightInd w:val="0"/>
        <w:ind w:left="540"/>
        <w:rPr>
          <w:b/>
          <w:szCs w:val="22"/>
        </w:rPr>
      </w:pPr>
      <w:r w:rsidRPr="00CC5722">
        <w:rPr>
          <w:rFonts w:cs="Arial"/>
          <w:szCs w:val="22"/>
        </w:rPr>
        <w:t>[*These authors contributed equally]</w:t>
      </w:r>
    </w:p>
    <w:p w14:paraId="392E135C" w14:textId="77777777" w:rsidR="00A93370" w:rsidRDefault="00A93370" w:rsidP="00A93370">
      <w:pPr>
        <w:pStyle w:val="DataField11pt-Single"/>
        <w:spacing w:before="240"/>
        <w:rPr>
          <w:rStyle w:val="Strong"/>
        </w:rPr>
      </w:pPr>
    </w:p>
    <w:p w14:paraId="37A98850" w14:textId="77777777" w:rsidR="00A93370" w:rsidRDefault="00A93370" w:rsidP="00A93370">
      <w:pPr>
        <w:pStyle w:val="DataField11pt-Single"/>
        <w:spacing w:before="240"/>
        <w:rPr>
          <w:rStyle w:val="Strong"/>
        </w:rPr>
      </w:pPr>
      <w:r>
        <w:rPr>
          <w:rStyle w:val="Strong"/>
        </w:rPr>
        <w:t>D. Research Support</w:t>
      </w:r>
    </w:p>
    <w:p w14:paraId="7DDF415F" w14:textId="77777777" w:rsidR="00A93370" w:rsidRPr="006F6455" w:rsidRDefault="00A93370" w:rsidP="00A93370">
      <w:pPr>
        <w:pStyle w:val="DataField11pt-Single"/>
        <w:spacing w:before="240"/>
        <w:rPr>
          <w:rStyle w:val="Strong"/>
          <w:u w:val="single"/>
        </w:rPr>
      </w:pPr>
      <w:r w:rsidRPr="006F6455">
        <w:rPr>
          <w:rStyle w:val="Strong"/>
          <w:u w:val="single"/>
        </w:rPr>
        <w:t>Ongoing Research Support</w:t>
      </w:r>
    </w:p>
    <w:p w14:paraId="78DBD152" w14:textId="77777777" w:rsidR="00A93370" w:rsidRDefault="00A93370" w:rsidP="00A93370">
      <w:pPr>
        <w:pStyle w:val="DataField11pt-Single"/>
        <w:spacing w:before="240"/>
        <w:rPr>
          <w:rStyle w:val="Strong"/>
        </w:rPr>
      </w:pPr>
    </w:p>
    <w:p w14:paraId="23FA21B7" w14:textId="77777777" w:rsidR="00A93370" w:rsidRPr="006F6455" w:rsidRDefault="00A93370" w:rsidP="00A93370">
      <w:pPr>
        <w:pStyle w:val="DataField11pt-Single"/>
        <w:spacing w:before="240"/>
        <w:rPr>
          <w:rStyle w:val="Strong"/>
          <w:u w:val="single"/>
        </w:rPr>
      </w:pPr>
      <w:r w:rsidRPr="006F6455">
        <w:rPr>
          <w:rStyle w:val="Strong"/>
          <w:u w:val="single"/>
        </w:rPr>
        <w:t>Completed Research Support</w:t>
      </w:r>
    </w:p>
    <w:p w14:paraId="4DEC24C0" w14:textId="77777777" w:rsidR="00A93370" w:rsidRPr="005C2CF8" w:rsidRDefault="00A93370" w:rsidP="00A93370">
      <w:pPr>
        <w:pStyle w:val="DataField11pt-Single"/>
        <w:spacing w:before="240"/>
        <w:rPr>
          <w:rStyle w:val="Strong"/>
        </w:rPr>
      </w:pPr>
    </w:p>
    <w:p w14:paraId="5BB8C337" w14:textId="77777777" w:rsidR="00FC5F9E" w:rsidRPr="005C2CF8" w:rsidRDefault="00FC5F9E" w:rsidP="00A93370">
      <w:pPr>
        <w:pStyle w:val="DataField11pt-Single"/>
        <w:rPr>
          <w:rStyle w:val="Strong"/>
        </w:rPr>
      </w:pPr>
    </w:p>
    <w:sectPr w:rsidR="00FC5F9E" w:rsidRPr="005C2CF8"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C410D" w14:textId="77777777" w:rsidR="00B02A0F" w:rsidRDefault="00B02A0F">
      <w:r>
        <w:separator/>
      </w:r>
    </w:p>
  </w:endnote>
  <w:endnote w:type="continuationSeparator" w:id="0">
    <w:p w14:paraId="5981BDD9" w14:textId="77777777" w:rsidR="00B02A0F" w:rsidRDefault="00B0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00000287" w:usb1="08070000" w:usb2="00000010"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4D5B9" w14:textId="77777777" w:rsidR="00B02A0F" w:rsidRDefault="00B02A0F">
      <w:r>
        <w:separator/>
      </w:r>
    </w:p>
  </w:footnote>
  <w:footnote w:type="continuationSeparator" w:id="0">
    <w:p w14:paraId="02CB8142" w14:textId="77777777" w:rsidR="00B02A0F" w:rsidRDefault="00B02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C911FEB"/>
    <w:multiLevelType w:val="hybridMultilevel"/>
    <w:tmpl w:val="10BC67E2"/>
    <w:lvl w:ilvl="0" w:tplc="CF78CF9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0E6390"/>
    <w:multiLevelType w:val="hybridMultilevel"/>
    <w:tmpl w:val="34A4E622"/>
    <w:lvl w:ilvl="0" w:tplc="636CBED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4EF55429"/>
    <w:multiLevelType w:val="hybridMultilevel"/>
    <w:tmpl w:val="A2DEB610"/>
    <w:lvl w:ilvl="0" w:tplc="04090019">
      <w:start w:val="1"/>
      <w:numFmt w:val="lowerLetter"/>
      <w:lvlText w:val="%1."/>
      <w:lvlJc w:val="left"/>
      <w:pPr>
        <w:ind w:left="720" w:hanging="360"/>
      </w:pPr>
    </w:lvl>
    <w:lvl w:ilvl="1" w:tplc="08D8837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C626C0"/>
    <w:multiLevelType w:val="hybridMultilevel"/>
    <w:tmpl w:val="CD248B16"/>
    <w:lvl w:ilvl="0" w:tplc="04090019">
      <w:start w:val="1"/>
      <w:numFmt w:val="lowerLetter"/>
      <w:lvlText w:val="%1."/>
      <w:lvlJc w:val="left"/>
      <w:pPr>
        <w:ind w:left="720" w:hanging="360"/>
      </w:pPr>
    </w:lvl>
    <w:lvl w:ilvl="1" w:tplc="2D18390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20"/>
  </w:num>
  <w:num w:numId="15">
    <w:abstractNumId w:val="17"/>
  </w:num>
  <w:num w:numId="16">
    <w:abstractNumId w:val="19"/>
  </w:num>
  <w:num w:numId="17">
    <w:abstractNumId w:val="10"/>
  </w:num>
  <w:num w:numId="18">
    <w:abstractNumId w:val="14"/>
  </w:num>
  <w:num w:numId="19">
    <w:abstractNumId w:val="16"/>
  </w:num>
  <w:num w:numId="20">
    <w:abstractNumId w:val="12"/>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67621"/>
    <w:rsid w:val="00084466"/>
    <w:rsid w:val="000E3BEC"/>
    <w:rsid w:val="00122EB3"/>
    <w:rsid w:val="00132CA6"/>
    <w:rsid w:val="00136F7E"/>
    <w:rsid w:val="0014571A"/>
    <w:rsid w:val="00170D87"/>
    <w:rsid w:val="00177D49"/>
    <w:rsid w:val="001C065C"/>
    <w:rsid w:val="002506F6"/>
    <w:rsid w:val="0028051C"/>
    <w:rsid w:val="002A70D9"/>
    <w:rsid w:val="002B7443"/>
    <w:rsid w:val="002D7520"/>
    <w:rsid w:val="002E2CA2"/>
    <w:rsid w:val="002E5125"/>
    <w:rsid w:val="00321A19"/>
    <w:rsid w:val="0035045F"/>
    <w:rsid w:val="0037667F"/>
    <w:rsid w:val="00382AB6"/>
    <w:rsid w:val="00383712"/>
    <w:rsid w:val="003C2647"/>
    <w:rsid w:val="003C62D6"/>
    <w:rsid w:val="003D2399"/>
    <w:rsid w:val="003E4A92"/>
    <w:rsid w:val="003F6A45"/>
    <w:rsid w:val="004261E9"/>
    <w:rsid w:val="00432346"/>
    <w:rsid w:val="00435AF7"/>
    <w:rsid w:val="00447F3A"/>
    <w:rsid w:val="004759D9"/>
    <w:rsid w:val="0049068A"/>
    <w:rsid w:val="004A3FC8"/>
    <w:rsid w:val="00503B57"/>
    <w:rsid w:val="005145BB"/>
    <w:rsid w:val="00517BFD"/>
    <w:rsid w:val="0054471F"/>
    <w:rsid w:val="005461F3"/>
    <w:rsid w:val="00547118"/>
    <w:rsid w:val="00547AC9"/>
    <w:rsid w:val="00577B5D"/>
    <w:rsid w:val="00592740"/>
    <w:rsid w:val="005C2BDD"/>
    <w:rsid w:val="005C2CF8"/>
    <w:rsid w:val="005C47A8"/>
    <w:rsid w:val="005E406E"/>
    <w:rsid w:val="005F5F51"/>
    <w:rsid w:val="00601C69"/>
    <w:rsid w:val="00616BCC"/>
    <w:rsid w:val="00624261"/>
    <w:rsid w:val="00635E40"/>
    <w:rsid w:val="00646AF9"/>
    <w:rsid w:val="00656AB8"/>
    <w:rsid w:val="006609B6"/>
    <w:rsid w:val="0068699D"/>
    <w:rsid w:val="006A353C"/>
    <w:rsid w:val="006A56FC"/>
    <w:rsid w:val="006B2D1C"/>
    <w:rsid w:val="006C1E1F"/>
    <w:rsid w:val="006C4814"/>
    <w:rsid w:val="006E6FB5"/>
    <w:rsid w:val="007050F5"/>
    <w:rsid w:val="0071140F"/>
    <w:rsid w:val="00722C8F"/>
    <w:rsid w:val="00763DE9"/>
    <w:rsid w:val="00781234"/>
    <w:rsid w:val="007B7AF3"/>
    <w:rsid w:val="007D4125"/>
    <w:rsid w:val="008073EB"/>
    <w:rsid w:val="00843027"/>
    <w:rsid w:val="00873917"/>
    <w:rsid w:val="00874EBC"/>
    <w:rsid w:val="008A724C"/>
    <w:rsid w:val="009211D3"/>
    <w:rsid w:val="00932AEE"/>
    <w:rsid w:val="00933173"/>
    <w:rsid w:val="00934124"/>
    <w:rsid w:val="00952A27"/>
    <w:rsid w:val="00977FA5"/>
    <w:rsid w:val="009D7E97"/>
    <w:rsid w:val="009E52CA"/>
    <w:rsid w:val="009F72E5"/>
    <w:rsid w:val="00A03FFA"/>
    <w:rsid w:val="00A04942"/>
    <w:rsid w:val="00A04B52"/>
    <w:rsid w:val="00A1469B"/>
    <w:rsid w:val="00A14EF5"/>
    <w:rsid w:val="00A26D0F"/>
    <w:rsid w:val="00A42D9B"/>
    <w:rsid w:val="00A55D1D"/>
    <w:rsid w:val="00A63D7C"/>
    <w:rsid w:val="00A7514C"/>
    <w:rsid w:val="00A8122C"/>
    <w:rsid w:val="00A83312"/>
    <w:rsid w:val="00A93370"/>
    <w:rsid w:val="00AC3968"/>
    <w:rsid w:val="00AE41C4"/>
    <w:rsid w:val="00B02A0F"/>
    <w:rsid w:val="00C05C55"/>
    <w:rsid w:val="00C076C6"/>
    <w:rsid w:val="00C1247F"/>
    <w:rsid w:val="00C137DA"/>
    <w:rsid w:val="00C3113F"/>
    <w:rsid w:val="00C4536F"/>
    <w:rsid w:val="00C46ADA"/>
    <w:rsid w:val="00C85025"/>
    <w:rsid w:val="00C918BD"/>
    <w:rsid w:val="00C919B1"/>
    <w:rsid w:val="00C94E59"/>
    <w:rsid w:val="00CA680A"/>
    <w:rsid w:val="00CE0951"/>
    <w:rsid w:val="00CF68A2"/>
    <w:rsid w:val="00D3779E"/>
    <w:rsid w:val="00D679E5"/>
    <w:rsid w:val="00D74391"/>
    <w:rsid w:val="00D83360"/>
    <w:rsid w:val="00DB7B85"/>
    <w:rsid w:val="00DD31B4"/>
    <w:rsid w:val="00DF7645"/>
    <w:rsid w:val="00E047AD"/>
    <w:rsid w:val="00E127A1"/>
    <w:rsid w:val="00E20E6D"/>
    <w:rsid w:val="00E355C2"/>
    <w:rsid w:val="00E53B95"/>
    <w:rsid w:val="00E67A05"/>
    <w:rsid w:val="00E724A6"/>
    <w:rsid w:val="00E74AB7"/>
    <w:rsid w:val="00E81FE1"/>
    <w:rsid w:val="00E90203"/>
    <w:rsid w:val="00EA0405"/>
    <w:rsid w:val="00ED35D7"/>
    <w:rsid w:val="00EE460E"/>
    <w:rsid w:val="00EF4C32"/>
    <w:rsid w:val="00EF69CD"/>
    <w:rsid w:val="00F02126"/>
    <w:rsid w:val="00F07AB3"/>
    <w:rsid w:val="00F262AB"/>
    <w:rsid w:val="00F7284D"/>
    <w:rsid w:val="00F94A2B"/>
    <w:rsid w:val="00FA00C6"/>
    <w:rsid w:val="00FC5F9E"/>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A93370"/>
    <w:pPr>
      <w:ind w:left="720"/>
      <w:contextualSpacing/>
    </w:pPr>
  </w:style>
  <w:style w:type="character" w:styleId="FollowedHyperlink">
    <w:name w:val="FollowedHyperlink"/>
    <w:basedOn w:val="DefaultParagraphFont"/>
    <w:rsid w:val="00A933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bi.nlm.nih.gov:80/entrez/query.fcgi?cmd=Search&amp;db=PubMed&amp;term=Woods+Maehigashi+Howerton+Sines+Tannenbaum+Williams+" TargetMode="External"/><Relationship Id="rId5" Type="http://schemas.openxmlformats.org/officeDocument/2006/relationships/styles" Target="styles.xml"/><Relationship Id="rId10" Type="http://schemas.openxmlformats.org/officeDocument/2006/relationships/hyperlink" Target="http://www.ncbi.nlm.nih.gov/sites/myncbi/10SlcYpeBay54/bibliography/47860155/public/?sort=date&amp;direction=ascend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10/26/15 source doc
11/2 JAW QC'ed
11/2 JAW Tracked Version Created</Test_x0020_Comment>
    <OMB_x0020_No_x002e_ xmlns="97b54082-1e85-426d-afc6-16ad99d216c1">0925-0046</OMB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0a46e840f215d781c8da83e244812a1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19fc51a06a3561438e061b71f8c213b"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65F390C9-F948-4069-B66B-4EC6BF8B4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10185</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T Maehigashi</cp:lastModifiedBy>
  <cp:revision>5</cp:revision>
  <cp:lastPrinted>2011-03-11T19:43:00Z</cp:lastPrinted>
  <dcterms:created xsi:type="dcterms:W3CDTF">2016-04-22T17:06:00Z</dcterms:created>
  <dcterms:modified xsi:type="dcterms:W3CDTF">2016-04-22T18:53:00Z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